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33067A" w:rsidRDefault="00C73063">
                <w:pPr>
                  <w:bidi w:val="0"/>
                  <w:jc w:val="right"/>
                  <w:rPr>
                    <w:rFonts w:ascii="Arial" w:hAnsi="Arial"/>
                    <w:b/>
                    <w:bCs/>
                    <w:noProof w:val="0"/>
                    <w:sz w:val="26"/>
                    <w:szCs w:val="26"/>
                    <w:rtl/>
                  </w:rPr>
                </w:pPr>
                <w:r>
                  <w:rPr>
                    <w:rFonts w:ascii="Arial" w:hAnsi="Arial"/>
                    <w:b/>
                    <w:bCs/>
                    <w:noProof w:val="0"/>
                    <w:sz w:val="26"/>
                    <w:szCs w:val="26"/>
                    <w:rtl/>
                  </w:rPr>
                  <w:br/>
                </w:r>
                <w:r>
                  <w:rPr>
                    <w:rFonts w:ascii="Arial" w:hAnsi="Arial" w:hint="cs"/>
                    <w:b/>
                    <w:bCs/>
                    <w:noProof w:val="0"/>
                    <w:sz w:val="26"/>
                    <w:szCs w:val="26"/>
                    <w:rtl/>
                  </w:rPr>
                  <w:t>המבקש</w:t>
                </w:r>
              </w:p>
            </w:sdtContent>
          </w:sdt>
        </w:tc>
        <w:tc>
          <w:tcPr>
            <w:tcW w:w="5571" w:type="dxa"/>
          </w:tcPr>
          <w:p w:rsidR="00C73063" w:rsidRPr="00C73063" w:rsidRDefault="00C73063" w:rsidP="00C73063">
            <w:pPr>
              <w:rPr>
                <w:rFonts w:ascii="Arial" w:hAnsi="Arial"/>
                <w:b/>
                <w:bCs/>
                <w:noProof w:val="0"/>
                <w:sz w:val="26"/>
                <w:szCs w:val="26"/>
              </w:rPr>
            </w:pPr>
          </w:p>
          <w:p w:rsidR="00C73063" w:rsidRDefault="00C73063" w:rsidP="00C73063">
            <w:pPr>
              <w:rPr>
                <w:rFonts w:ascii="Arial" w:hAnsi="Arial"/>
                <w:b/>
                <w:bCs/>
                <w:noProof w:val="0"/>
                <w:sz w:val="26"/>
                <w:szCs w:val="26"/>
                <w:rtl/>
              </w:rPr>
            </w:pPr>
            <w:r w:rsidRPr="00C73063">
              <w:rPr>
                <w:rFonts w:ascii="Arial" w:hAnsi="Arial"/>
                <w:b/>
                <w:bCs/>
                <w:noProof w:val="0"/>
                <w:sz w:val="26"/>
                <w:szCs w:val="26"/>
                <w:rtl/>
              </w:rPr>
              <w:t xml:space="preserve">      </w:t>
            </w:r>
          </w:p>
          <w:p w:rsidR="00AF14CA" w:rsidRDefault="00AF14CA" w:rsidP="00AF14CA">
            <w:pPr>
              <w:rPr>
                <w:rFonts w:ascii="Arial" w:hAnsi="Arial"/>
                <w:b/>
                <w:bCs/>
                <w:noProof w:val="0"/>
                <w:sz w:val="26"/>
                <w:szCs w:val="26"/>
                <w:rtl/>
              </w:rPr>
            </w:pPr>
            <w:r>
              <w:rPr>
                <w:rFonts w:ascii="Arial" w:hAnsi="Arial" w:hint="cs"/>
                <w:b/>
                <w:bCs/>
                <w:noProof w:val="0"/>
                <w:sz w:val="26"/>
                <w:szCs w:val="26"/>
                <w:rtl/>
              </w:rPr>
              <w:t>ג.ש.</w:t>
            </w:r>
            <w:r w:rsidR="00C73063" w:rsidRPr="00C73063">
              <w:rPr>
                <w:rFonts w:ascii="Arial" w:hAnsi="Arial"/>
                <w:b/>
                <w:bCs/>
                <w:noProof w:val="0"/>
                <w:sz w:val="26"/>
                <w:szCs w:val="26"/>
                <w:rtl/>
              </w:rPr>
              <w:t xml:space="preserve"> ת"ז </w:t>
            </w:r>
            <w:r>
              <w:rPr>
                <w:rFonts w:ascii="Arial" w:hAnsi="Arial" w:hint="cs"/>
                <w:b/>
                <w:bCs/>
                <w:noProof w:val="0"/>
                <w:sz w:val="26"/>
                <w:szCs w:val="26"/>
                <w:rtl/>
              </w:rPr>
              <w:t>...</w:t>
            </w:r>
          </w:p>
          <w:p w:rsidR="002914D6" w:rsidRPr="00AF14CA" w:rsidRDefault="00AF14CA" w:rsidP="00AF14CA">
            <w:pPr>
              <w:rPr>
                <w:rFonts w:ascii="Arial" w:hAnsi="Arial"/>
                <w:noProof w:val="0"/>
                <w:sz w:val="26"/>
                <w:szCs w:val="26"/>
              </w:rPr>
            </w:pPr>
            <w:r w:rsidRPr="00AF14CA">
              <w:rPr>
                <w:rFonts w:ascii="Arial" w:hAnsi="Arial" w:hint="cs"/>
                <w:noProof w:val="0"/>
                <w:sz w:val="26"/>
                <w:szCs w:val="26"/>
                <w:rtl/>
              </w:rPr>
              <w:t>ע"י ב"כ עו"ד עדי חן</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1D09C4" w:rsidP="00C73063">
            <w:pPr>
              <w:rPr>
                <w:rFonts w:ascii="Arial" w:hAnsi="Arial"/>
                <w:b/>
                <w:bCs/>
                <w:noProof w:val="0"/>
                <w:sz w:val="26"/>
                <w:szCs w:val="26"/>
              </w:rPr>
            </w:pPr>
            <w:sdt>
              <w:sdtPr>
                <w:rPr>
                  <w:rtl/>
                </w:rPr>
                <w:alias w:val="1184"/>
                <w:tag w:val="1184"/>
                <w:id w:val="385841288"/>
                <w:text w:multiLine="1"/>
              </w:sdtPr>
              <w:sdtEndPr/>
              <w:sdtContent>
                <w:r w:rsidR="00C73063">
                  <w:rPr>
                    <w:rFonts w:ascii="Arial" w:hAnsi="Arial" w:hint="cs"/>
                    <w:b/>
                    <w:bCs/>
                    <w:noProof w:val="0"/>
                    <w:sz w:val="26"/>
                    <w:szCs w:val="26"/>
                    <w:rtl/>
                  </w:rPr>
                  <w:t>המשיבה</w:t>
                </w:r>
              </w:sdtContent>
            </w:sdt>
          </w:p>
        </w:tc>
        <w:tc>
          <w:tcPr>
            <w:tcW w:w="5571" w:type="dxa"/>
          </w:tcPr>
          <w:p w:rsidR="002914D6" w:rsidRDefault="00AF14CA" w:rsidP="00AF14CA">
            <w:pPr>
              <w:rPr>
                <w:b/>
                <w:bCs/>
                <w:noProof w:val="0"/>
                <w:sz w:val="26"/>
                <w:szCs w:val="26"/>
                <w:rtl/>
              </w:rPr>
            </w:pPr>
            <w:r>
              <w:rPr>
                <w:rFonts w:ascii="Arial" w:hAnsi="Arial" w:hint="cs"/>
                <w:b/>
                <w:bCs/>
                <w:noProof w:val="0"/>
                <w:sz w:val="26"/>
                <w:szCs w:val="26"/>
                <w:rtl/>
              </w:rPr>
              <w:t>מ.ש.</w:t>
            </w:r>
            <w:sdt>
              <w:sdtPr>
                <w:rPr>
                  <w:rtl/>
                </w:rPr>
                <w:alias w:val="1478"/>
                <w:tag w:val="1478"/>
                <w:id w:val="-2019765730"/>
                <w:text w:multiLine="1"/>
              </w:sdtPr>
              <w:sdtEndPr/>
              <w:sdtContent>
                <w:r>
                  <w:rPr>
                    <w:rFonts w:hint="cs"/>
                    <w:rtl/>
                  </w:rPr>
                  <w:t xml:space="preserve"> </w:t>
                </w:r>
              </w:sdtContent>
            </w:sdt>
            <w:r w:rsidR="00C73063">
              <w:rPr>
                <w:rFonts w:ascii="Arial" w:hAnsi="Arial" w:hint="cs"/>
                <w:b/>
                <w:bCs/>
                <w:noProof w:val="0"/>
                <w:sz w:val="26"/>
                <w:szCs w:val="26"/>
                <w:rtl/>
              </w:rPr>
              <w:t xml:space="preserve"> </w:t>
            </w:r>
            <w:sdt>
              <w:sdtPr>
                <w:rPr>
                  <w:rtl/>
                </w:rPr>
                <w:alias w:val="2315"/>
                <w:tag w:val="2315"/>
                <w:id w:val="1096443329"/>
                <w:text w:multiLine="1"/>
              </w:sdtPr>
              <w:sdtEndPr/>
              <w:sdtContent>
                <w:r w:rsidR="00C73063">
                  <w:rPr>
                    <w:rFonts w:ascii="Arial" w:hAnsi="Arial"/>
                    <w:b/>
                    <w:bCs/>
                    <w:noProof w:val="0"/>
                    <w:sz w:val="26"/>
                    <w:szCs w:val="26"/>
                    <w:rtl/>
                  </w:rPr>
                  <w:t>ת"ז</w:t>
                </w:r>
              </w:sdtContent>
            </w:sdt>
            <w:r w:rsidR="00C73063">
              <w:rPr>
                <w:rFonts w:ascii="Arial" w:hAnsi="Arial" w:hint="cs"/>
                <w:b/>
                <w:bCs/>
                <w:noProof w:val="0"/>
                <w:sz w:val="26"/>
                <w:szCs w:val="26"/>
                <w:rtl/>
              </w:rPr>
              <w:t xml:space="preserve"> </w:t>
            </w:r>
            <w:sdt>
              <w:sdtPr>
                <w:rPr>
                  <w:rtl/>
                </w:rPr>
                <w:alias w:val="2316"/>
                <w:tag w:val="2316"/>
                <w:id w:val="-119842878"/>
                <w:text w:multiLine="1"/>
              </w:sdtPr>
              <w:sdtEndPr/>
              <w:sdtContent>
                <w:r>
                  <w:rPr>
                    <w:rFonts w:ascii="Arial" w:hAnsi="Arial" w:hint="cs"/>
                    <w:b/>
                    <w:bCs/>
                    <w:noProof w:val="0"/>
                    <w:sz w:val="26"/>
                    <w:szCs w:val="26"/>
                    <w:rtl/>
                  </w:rPr>
                  <w:t>....</w:t>
                </w:r>
                <w:r>
                  <w:rPr>
                    <w:rtl/>
                  </w:rPr>
                  <w:br/>
                </w:r>
                <w:r>
                  <w:rPr>
                    <w:rFonts w:hint="cs"/>
                    <w:rtl/>
                  </w:rPr>
                  <w:t>ע"י ב"כ עו"ד תמר ברש-אבירם</w:t>
                </w:r>
              </w:sdtContent>
            </w:sdt>
          </w:p>
        </w:tc>
      </w:tr>
      <w:tr w:rsidR="00DA714E" w:rsidTr="00020144">
        <w:tc>
          <w:tcPr>
            <w:tcW w:w="8820" w:type="dxa"/>
            <w:gridSpan w:val="3"/>
          </w:tcPr>
          <w:p w:rsidR="0033067A" w:rsidRDefault="0033067A">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rsidP="00AB1468">
      <w:pPr>
        <w:spacing w:line="360" w:lineRule="auto"/>
        <w:jc w:val="both"/>
        <w:rPr>
          <w:rFonts w:ascii="Arial" w:hAnsi="Arial"/>
          <w:noProof w:val="0"/>
          <w:rtl/>
        </w:rPr>
      </w:pPr>
    </w:p>
    <w:p w:rsidR="0052766E" w:rsidRDefault="00D15AC0" w:rsidP="00DF7E49">
      <w:pPr>
        <w:numPr>
          <w:ilvl w:val="0"/>
          <w:numId w:val="1"/>
        </w:numPr>
        <w:spacing w:line="360" w:lineRule="auto"/>
        <w:jc w:val="both"/>
        <w:rPr>
          <w:rFonts w:ascii="Arial" w:hAnsi="Arial"/>
          <w:noProof w:val="0"/>
        </w:rPr>
      </w:pPr>
      <w:r w:rsidRPr="00D15AC0">
        <w:rPr>
          <w:rFonts w:ascii="Arial" w:hAnsi="Arial"/>
          <w:noProof w:val="0"/>
          <w:rtl/>
        </w:rPr>
        <w:t xml:space="preserve">בקשה לביטול פסק דין שניתן על ידי כבוד הרשם </w:t>
      </w:r>
      <w:r>
        <w:rPr>
          <w:rFonts w:ascii="Arial" w:hAnsi="Arial" w:hint="cs"/>
          <w:noProof w:val="0"/>
          <w:rtl/>
        </w:rPr>
        <w:t xml:space="preserve">ש' צרפתי </w:t>
      </w:r>
      <w:r w:rsidRPr="00D15AC0">
        <w:rPr>
          <w:rFonts w:ascii="Arial" w:hAnsi="Arial"/>
          <w:noProof w:val="0"/>
          <w:rtl/>
        </w:rPr>
        <w:t>בהיעדר תגובה של המבקש</w:t>
      </w:r>
      <w:r w:rsidR="00777943">
        <w:rPr>
          <w:rFonts w:ascii="Arial" w:hAnsi="Arial" w:hint="cs"/>
          <w:noProof w:val="0"/>
          <w:rtl/>
        </w:rPr>
        <w:t xml:space="preserve"> על המלצות התסקיר המשלים שהגישה העו"ס ביום 31.8.24</w:t>
      </w:r>
      <w:r w:rsidRPr="00D15AC0">
        <w:rPr>
          <w:rFonts w:ascii="Arial" w:hAnsi="Arial"/>
          <w:noProof w:val="0"/>
          <w:rtl/>
        </w:rPr>
        <w:t>, בטענה כי ב"כ</w:t>
      </w:r>
      <w:r w:rsidR="00777943">
        <w:rPr>
          <w:rFonts w:ascii="Arial" w:hAnsi="Arial" w:hint="cs"/>
          <w:noProof w:val="0"/>
          <w:rtl/>
        </w:rPr>
        <w:t xml:space="preserve"> דאז, עו"ד </w:t>
      </w:r>
      <w:r w:rsidR="00777943" w:rsidRPr="00DF7E49">
        <w:rPr>
          <w:rFonts w:ascii="Arial" w:hAnsi="Arial" w:hint="cs"/>
          <w:noProof w:val="0"/>
          <w:rtl/>
        </w:rPr>
        <w:t>ב</w:t>
      </w:r>
      <w:r w:rsidR="00DF7E49" w:rsidRPr="00DF7E49">
        <w:rPr>
          <w:rFonts w:ascii="Arial" w:hAnsi="Arial" w:hint="cs"/>
          <w:noProof w:val="0"/>
          <w:rtl/>
        </w:rPr>
        <w:t>'</w:t>
      </w:r>
      <w:r w:rsidR="00777943">
        <w:rPr>
          <w:rFonts w:ascii="Arial" w:hAnsi="Arial" w:hint="cs"/>
          <w:noProof w:val="0"/>
          <w:rtl/>
        </w:rPr>
        <w:t>,</w:t>
      </w:r>
      <w:r w:rsidRPr="00D15AC0">
        <w:rPr>
          <w:rFonts w:ascii="Arial" w:hAnsi="Arial"/>
          <w:noProof w:val="0"/>
          <w:rtl/>
        </w:rPr>
        <w:t xml:space="preserve"> שהה בשירות מילואים פעיל</w:t>
      </w:r>
      <w:r w:rsidR="00777943">
        <w:rPr>
          <w:rFonts w:ascii="Arial" w:hAnsi="Arial" w:hint="cs"/>
          <w:noProof w:val="0"/>
          <w:rtl/>
        </w:rPr>
        <w:t xml:space="preserve">; </w:t>
      </w:r>
    </w:p>
    <w:p w:rsidR="0052766E" w:rsidRDefault="0052766E" w:rsidP="00AB1468">
      <w:pPr>
        <w:spacing w:line="360" w:lineRule="auto"/>
        <w:ind w:left="720"/>
        <w:jc w:val="both"/>
        <w:rPr>
          <w:rFonts w:ascii="Arial" w:hAnsi="Arial"/>
          <w:noProof w:val="0"/>
        </w:rPr>
      </w:pPr>
    </w:p>
    <w:p w:rsidR="00D15AC0" w:rsidRDefault="00777943" w:rsidP="00DF7E49">
      <w:pPr>
        <w:numPr>
          <w:ilvl w:val="0"/>
          <w:numId w:val="1"/>
        </w:numPr>
        <w:spacing w:line="360" w:lineRule="auto"/>
        <w:jc w:val="both"/>
        <w:rPr>
          <w:rFonts w:ascii="Arial" w:hAnsi="Arial"/>
          <w:noProof w:val="0"/>
        </w:rPr>
      </w:pPr>
      <w:r w:rsidRPr="00DF7E49">
        <w:rPr>
          <w:rFonts w:ascii="Arial" w:hAnsi="Arial" w:hint="cs"/>
          <w:noProof w:val="0"/>
          <w:rtl/>
        </w:rPr>
        <w:t>המבקש, אשר שוהה ב</w:t>
      </w:r>
      <w:r w:rsidR="00DF7E49" w:rsidRPr="00DF7E49">
        <w:rPr>
          <w:rFonts w:ascii="Arial" w:hAnsi="Arial" w:hint="cs"/>
          <w:noProof w:val="0"/>
          <w:rtl/>
        </w:rPr>
        <w:t>חו"ל</w:t>
      </w:r>
      <w:r w:rsidR="0052766E" w:rsidRPr="00DF7E49">
        <w:rPr>
          <w:rFonts w:ascii="Arial" w:hAnsi="Arial" w:hint="cs"/>
          <w:noProof w:val="0"/>
          <w:rtl/>
        </w:rPr>
        <w:t>,</w:t>
      </w:r>
      <w:r w:rsidRPr="00DF7E49">
        <w:rPr>
          <w:rFonts w:ascii="Arial" w:hAnsi="Arial" w:hint="cs"/>
          <w:noProof w:val="0"/>
          <w:rtl/>
        </w:rPr>
        <w:t xml:space="preserve"> </w:t>
      </w:r>
      <w:r w:rsidR="0052766E" w:rsidRPr="00DF7E49">
        <w:rPr>
          <w:rFonts w:ascii="Arial" w:hAnsi="Arial" w:hint="cs"/>
          <w:noProof w:val="0"/>
          <w:rtl/>
        </w:rPr>
        <w:t xml:space="preserve">לטענתו, </w:t>
      </w:r>
      <w:r w:rsidRPr="00DF7E49">
        <w:rPr>
          <w:rFonts w:ascii="Arial" w:hAnsi="Arial" w:hint="cs"/>
          <w:noProof w:val="0"/>
          <w:rtl/>
        </w:rPr>
        <w:t>בשליחות מטעם המדינה, ומגיע מעת לעת לפגוש את</w:t>
      </w:r>
      <w:r>
        <w:rPr>
          <w:rFonts w:ascii="Arial" w:hAnsi="Arial" w:hint="cs"/>
          <w:noProof w:val="0"/>
          <w:rtl/>
        </w:rPr>
        <w:t xml:space="preserve"> הקטין, </w:t>
      </w:r>
      <w:r w:rsidR="0052766E">
        <w:rPr>
          <w:rFonts w:ascii="Arial" w:hAnsi="Arial" w:hint="cs"/>
          <w:noProof w:val="0"/>
          <w:rtl/>
        </w:rPr>
        <w:t xml:space="preserve">טען כי </w:t>
      </w:r>
      <w:r w:rsidR="00D15AC0" w:rsidRPr="00D15AC0">
        <w:rPr>
          <w:rFonts w:ascii="Arial" w:hAnsi="Arial"/>
          <w:noProof w:val="0"/>
          <w:rtl/>
        </w:rPr>
        <w:t xml:space="preserve">לא </w:t>
      </w:r>
      <w:r>
        <w:rPr>
          <w:rFonts w:ascii="Arial" w:hAnsi="Arial" w:hint="cs"/>
          <w:noProof w:val="0"/>
          <w:rtl/>
        </w:rPr>
        <w:t xml:space="preserve">ראה את התסקיר ולא </w:t>
      </w:r>
      <w:r w:rsidR="00D15AC0" w:rsidRPr="00D15AC0">
        <w:rPr>
          <w:rFonts w:ascii="Arial" w:hAnsi="Arial"/>
          <w:noProof w:val="0"/>
          <w:rtl/>
        </w:rPr>
        <w:t xml:space="preserve">ידע על ההחלטה המורה לו </w:t>
      </w:r>
      <w:r>
        <w:rPr>
          <w:rFonts w:ascii="Arial" w:hAnsi="Arial" w:hint="cs"/>
          <w:noProof w:val="0"/>
          <w:rtl/>
        </w:rPr>
        <w:t>להגיב</w:t>
      </w:r>
      <w:r w:rsidR="0052766E">
        <w:rPr>
          <w:rFonts w:ascii="Arial" w:hAnsi="Arial" w:hint="cs"/>
          <w:noProof w:val="0"/>
          <w:rtl/>
        </w:rPr>
        <w:t>;</w:t>
      </w:r>
      <w:r>
        <w:rPr>
          <w:rFonts w:ascii="Arial" w:hAnsi="Arial" w:hint="cs"/>
          <w:noProof w:val="0"/>
          <w:rtl/>
        </w:rPr>
        <w:t xml:space="preserve"> </w:t>
      </w:r>
      <w:r w:rsidR="0052766E">
        <w:rPr>
          <w:rFonts w:ascii="Arial" w:hAnsi="Arial" w:hint="cs"/>
          <w:noProof w:val="0"/>
          <w:rtl/>
        </w:rPr>
        <w:t xml:space="preserve">וכי </w:t>
      </w:r>
      <w:r>
        <w:rPr>
          <w:rFonts w:ascii="Arial" w:hAnsi="Arial" w:hint="cs"/>
          <w:noProof w:val="0"/>
          <w:rtl/>
        </w:rPr>
        <w:t>הוא אינו יכול להתחבר לנט המשפט עת שהותו ב</w:t>
      </w:r>
      <w:r w:rsidR="00DF7E49">
        <w:rPr>
          <w:rFonts w:ascii="Arial" w:hAnsi="Arial" w:hint="cs"/>
          <w:noProof w:val="0"/>
          <w:rtl/>
        </w:rPr>
        <w:t>חו"ל</w:t>
      </w:r>
      <w:r>
        <w:rPr>
          <w:rFonts w:ascii="Arial" w:hAnsi="Arial" w:hint="cs"/>
          <w:noProof w:val="0"/>
          <w:rtl/>
        </w:rPr>
        <w:t xml:space="preserve"> עקב שיבושים במערכות התקשורת בשל המלחמה המתנהלת שם.</w:t>
      </w:r>
    </w:p>
    <w:p w:rsidR="00777943" w:rsidRDefault="00777943" w:rsidP="00AB1468">
      <w:pPr>
        <w:spacing w:line="360" w:lineRule="auto"/>
        <w:ind w:left="720"/>
        <w:jc w:val="both"/>
        <w:rPr>
          <w:rFonts w:ascii="Arial" w:hAnsi="Arial"/>
          <w:noProof w:val="0"/>
        </w:rPr>
      </w:pPr>
    </w:p>
    <w:p w:rsidR="00777943" w:rsidRPr="00D15AC0" w:rsidRDefault="00777943" w:rsidP="00AB1468">
      <w:pPr>
        <w:numPr>
          <w:ilvl w:val="0"/>
          <w:numId w:val="1"/>
        </w:numPr>
        <w:spacing w:line="360" w:lineRule="auto"/>
        <w:jc w:val="both"/>
        <w:rPr>
          <w:rFonts w:ascii="Arial" w:hAnsi="Arial"/>
          <w:noProof w:val="0"/>
          <w:rtl/>
        </w:rPr>
      </w:pPr>
      <w:r>
        <w:rPr>
          <w:rFonts w:ascii="Arial" w:hAnsi="Arial" w:hint="cs"/>
          <w:noProof w:val="0"/>
          <w:rtl/>
        </w:rPr>
        <w:t>לטענת המבקש התוצאה המתקבלת מפסק הדין היא קשה מאוד ופוגעת בקטין, בטובתו וברווחתו, ובקשר בינו לבין הקטין.</w:t>
      </w:r>
    </w:p>
    <w:p w:rsidR="00D15AC0" w:rsidRPr="00D15AC0" w:rsidRDefault="00D15AC0" w:rsidP="00AB1468">
      <w:pPr>
        <w:spacing w:line="360" w:lineRule="auto"/>
        <w:ind w:left="720"/>
        <w:jc w:val="both"/>
        <w:rPr>
          <w:rFonts w:ascii="Arial" w:hAnsi="Arial"/>
          <w:noProof w:val="0"/>
          <w:rtl/>
        </w:rPr>
      </w:pPr>
    </w:p>
    <w:p w:rsidR="00777943" w:rsidRDefault="00D15AC0" w:rsidP="00AB1468">
      <w:pPr>
        <w:numPr>
          <w:ilvl w:val="0"/>
          <w:numId w:val="1"/>
        </w:numPr>
        <w:spacing w:line="360" w:lineRule="auto"/>
        <w:jc w:val="both"/>
        <w:rPr>
          <w:rFonts w:ascii="Arial" w:hAnsi="Arial"/>
          <w:noProof w:val="0"/>
        </w:rPr>
      </w:pPr>
      <w:r w:rsidRPr="00D15AC0">
        <w:rPr>
          <w:rFonts w:ascii="Arial" w:hAnsi="Arial"/>
          <w:noProof w:val="0"/>
          <w:rtl/>
        </w:rPr>
        <w:lastRenderedPageBreak/>
        <w:t xml:space="preserve">המשיבה התנגדה וטענה כי </w:t>
      </w:r>
      <w:r w:rsidR="00777943">
        <w:rPr>
          <w:rFonts w:ascii="Arial" w:hAnsi="Arial" w:hint="cs"/>
          <w:noProof w:val="0"/>
          <w:rtl/>
        </w:rPr>
        <w:t xml:space="preserve">מדובר בהתנהלות חסרת תום לב של המבקש, אשר התעלם במשך שנה מההליך המשפטי התנהל בעניינו ביודעו כי ב"כ דאז מצוי בשירות </w:t>
      </w:r>
      <w:r w:rsidR="0052766E">
        <w:rPr>
          <w:rFonts w:ascii="Arial" w:hAnsi="Arial" w:hint="cs"/>
          <w:noProof w:val="0"/>
          <w:rtl/>
        </w:rPr>
        <w:t>צבאי,</w:t>
      </w:r>
      <w:r w:rsidR="00777943">
        <w:rPr>
          <w:rFonts w:ascii="Arial" w:hAnsi="Arial" w:hint="cs"/>
          <w:noProof w:val="0"/>
          <w:rtl/>
        </w:rPr>
        <w:t xml:space="preserve"> ואינו פנוי לטיפול בתיק.</w:t>
      </w:r>
    </w:p>
    <w:p w:rsidR="00777943" w:rsidRDefault="00777943" w:rsidP="00AB1468">
      <w:pPr>
        <w:pStyle w:val="ae"/>
        <w:spacing w:after="0" w:line="360" w:lineRule="auto"/>
        <w:rPr>
          <w:rFonts w:ascii="Arial" w:hAnsi="Arial"/>
          <w:rtl/>
        </w:rPr>
      </w:pPr>
    </w:p>
    <w:p w:rsidR="00D15AC0" w:rsidRDefault="00777943" w:rsidP="00AB1468">
      <w:pPr>
        <w:numPr>
          <w:ilvl w:val="0"/>
          <w:numId w:val="1"/>
        </w:numPr>
        <w:spacing w:line="360" w:lineRule="auto"/>
        <w:jc w:val="both"/>
        <w:rPr>
          <w:rFonts w:ascii="Arial" w:hAnsi="Arial"/>
          <w:noProof w:val="0"/>
        </w:rPr>
      </w:pPr>
      <w:r>
        <w:rPr>
          <w:rFonts w:ascii="Arial" w:hAnsi="Arial" w:hint="cs"/>
          <w:noProof w:val="0"/>
          <w:rtl/>
        </w:rPr>
        <w:t xml:space="preserve">לטענתה, </w:t>
      </w:r>
      <w:r w:rsidR="00D15AC0" w:rsidRPr="00D15AC0">
        <w:rPr>
          <w:rFonts w:ascii="Arial" w:hAnsi="Arial"/>
          <w:noProof w:val="0"/>
          <w:rtl/>
        </w:rPr>
        <w:t>האחריות לניהול ההליך שעה שב"כ הנתבע בשירות מילואים הינה על הנתבע, וכי היה עליו לעקוב אחר מתן ההחלטות בתיק</w:t>
      </w:r>
      <w:r>
        <w:rPr>
          <w:rFonts w:ascii="Arial" w:hAnsi="Arial" w:hint="cs"/>
          <w:noProof w:val="0"/>
          <w:rtl/>
        </w:rPr>
        <w:t>, למצער בעת שהותו בארץ אחת לשבועיים לביקור עם הקטין</w:t>
      </w:r>
      <w:r w:rsidR="00D15AC0" w:rsidRPr="00D15AC0">
        <w:rPr>
          <w:rFonts w:ascii="Arial" w:hAnsi="Arial"/>
          <w:noProof w:val="0"/>
          <w:rtl/>
        </w:rPr>
        <w:t>.</w:t>
      </w:r>
    </w:p>
    <w:p w:rsidR="00777943" w:rsidRDefault="00777943" w:rsidP="00AB1468">
      <w:pPr>
        <w:pStyle w:val="ae"/>
        <w:spacing w:after="0" w:line="360" w:lineRule="auto"/>
        <w:rPr>
          <w:rFonts w:ascii="Arial" w:hAnsi="Arial"/>
          <w:rtl/>
        </w:rPr>
      </w:pPr>
    </w:p>
    <w:p w:rsidR="00777943" w:rsidRDefault="00777943" w:rsidP="00AB1468">
      <w:pPr>
        <w:numPr>
          <w:ilvl w:val="0"/>
          <w:numId w:val="1"/>
        </w:numPr>
        <w:spacing w:line="360" w:lineRule="auto"/>
        <w:jc w:val="both"/>
        <w:rPr>
          <w:rFonts w:ascii="Arial" w:hAnsi="Arial"/>
          <w:noProof w:val="0"/>
        </w:rPr>
      </w:pPr>
      <w:r>
        <w:rPr>
          <w:rFonts w:ascii="Arial" w:hAnsi="Arial" w:hint="cs"/>
          <w:noProof w:val="0"/>
          <w:rtl/>
        </w:rPr>
        <w:t>עוד טענה כי פס"ד אינו פוגע קשות בקשר של האב עם הקטין, כי אם מעגן את המלצות העו"ס בתסקירה, אשר ככלל ביהמ"ש ייטה לקבלן, ולכן טענות ההגנה של המבקש חלשות; האב מפר את זמני השהות שנקבעו, אוסף את הקטין בימים בהם אמור לשהות עם האם ומודיע לאם ברגע האחרון על שינויים בהגעתו לארץ. לדבריה לאחר פסק הדין יש שיפור באופן קיום זמני שהות.</w:t>
      </w:r>
    </w:p>
    <w:p w:rsidR="00777943" w:rsidRDefault="00777943" w:rsidP="00AB1468">
      <w:pPr>
        <w:pStyle w:val="ae"/>
        <w:spacing w:after="0" w:line="360" w:lineRule="auto"/>
        <w:rPr>
          <w:rFonts w:ascii="Arial" w:hAnsi="Arial"/>
          <w:rtl/>
        </w:rPr>
      </w:pPr>
    </w:p>
    <w:p w:rsidR="00777943" w:rsidRDefault="00777943" w:rsidP="00AB1468">
      <w:pPr>
        <w:numPr>
          <w:ilvl w:val="0"/>
          <w:numId w:val="1"/>
        </w:numPr>
        <w:spacing w:line="360" w:lineRule="auto"/>
        <w:jc w:val="both"/>
        <w:rPr>
          <w:rFonts w:ascii="Arial" w:hAnsi="Arial"/>
          <w:noProof w:val="0"/>
        </w:rPr>
      </w:pPr>
      <w:r>
        <w:rPr>
          <w:rFonts w:ascii="Arial" w:hAnsi="Arial" w:hint="cs"/>
          <w:noProof w:val="0"/>
          <w:rtl/>
        </w:rPr>
        <w:t>לפיכך</w:t>
      </w:r>
      <w:r w:rsidR="0052766E">
        <w:rPr>
          <w:rFonts w:ascii="Arial" w:hAnsi="Arial" w:hint="cs"/>
          <w:noProof w:val="0"/>
          <w:rtl/>
        </w:rPr>
        <w:t>,</w:t>
      </w:r>
      <w:r>
        <w:rPr>
          <w:rFonts w:ascii="Arial" w:hAnsi="Arial" w:hint="cs"/>
          <w:noProof w:val="0"/>
          <w:rtl/>
        </w:rPr>
        <w:t xml:space="preserve"> עתרה המשיבה לדחיית הבקשה ת</w:t>
      </w:r>
      <w:r w:rsidR="0052766E">
        <w:rPr>
          <w:rFonts w:ascii="Arial" w:hAnsi="Arial" w:hint="cs"/>
          <w:noProof w:val="0"/>
          <w:rtl/>
        </w:rPr>
        <w:t>וך חיוב המבקש בהוצאות ולחילופין</w:t>
      </w:r>
      <w:r>
        <w:rPr>
          <w:rFonts w:ascii="Arial" w:hAnsi="Arial" w:hint="cs"/>
          <w:noProof w:val="0"/>
          <w:rtl/>
        </w:rPr>
        <w:t xml:space="preserve">, ככל שיבוטל פסק הדין, לחייב את המבקש בהוצאות משפט לטובת אוצר המדינה וכן </w:t>
      </w:r>
      <w:r w:rsidR="0052766E">
        <w:rPr>
          <w:rFonts w:ascii="Arial" w:hAnsi="Arial" w:hint="cs"/>
          <w:noProof w:val="0"/>
          <w:rtl/>
        </w:rPr>
        <w:t>לקבוע</w:t>
      </w:r>
      <w:r>
        <w:rPr>
          <w:rFonts w:ascii="Arial" w:hAnsi="Arial" w:hint="cs"/>
          <w:noProof w:val="0"/>
          <w:rtl/>
        </w:rPr>
        <w:t xml:space="preserve"> דיון דחוף במעמד הצדדים והעו"ס על מנת לשים סוף להליך זה אשר מתנהל החל משנת 2021.</w:t>
      </w:r>
    </w:p>
    <w:p w:rsidR="00777943" w:rsidRDefault="00777943" w:rsidP="00AB1468">
      <w:pPr>
        <w:pStyle w:val="ae"/>
        <w:spacing w:after="0" w:line="360" w:lineRule="auto"/>
        <w:rPr>
          <w:rFonts w:ascii="Arial" w:hAnsi="Arial"/>
          <w:rtl/>
        </w:rPr>
      </w:pPr>
    </w:p>
    <w:p w:rsidR="00C73063" w:rsidRDefault="00C73063" w:rsidP="00AB1468">
      <w:pPr>
        <w:pStyle w:val="ae"/>
        <w:spacing w:after="0" w:line="360" w:lineRule="auto"/>
        <w:rPr>
          <w:rFonts w:ascii="Arial" w:hAnsi="Arial"/>
          <w:rtl/>
        </w:rPr>
      </w:pPr>
    </w:p>
    <w:p w:rsidR="00806955" w:rsidRDefault="00806955" w:rsidP="00AB1468">
      <w:pPr>
        <w:spacing w:line="360" w:lineRule="auto"/>
        <w:jc w:val="both"/>
        <w:rPr>
          <w:rFonts w:ascii="Arial" w:hAnsi="Arial"/>
          <w:b/>
          <w:bCs/>
          <w:noProof w:val="0"/>
          <w:u w:val="single"/>
        </w:rPr>
      </w:pPr>
      <w:r>
        <w:rPr>
          <w:rFonts w:ascii="Arial" w:hAnsi="Arial"/>
          <w:b/>
          <w:bCs/>
          <w:noProof w:val="0"/>
          <w:u w:val="single"/>
          <w:rtl/>
        </w:rPr>
        <w:t>מסגרת הדין</w:t>
      </w:r>
    </w:p>
    <w:p w:rsidR="00806955" w:rsidRDefault="00806955" w:rsidP="00AB1468">
      <w:pPr>
        <w:spacing w:line="360" w:lineRule="auto"/>
        <w:jc w:val="both"/>
        <w:rPr>
          <w:rFonts w:ascii="Arial" w:hAnsi="Arial"/>
          <w:noProof w:val="0"/>
          <w:rtl/>
        </w:rPr>
      </w:pPr>
    </w:p>
    <w:p w:rsidR="00806955" w:rsidRDefault="00806955" w:rsidP="00AB1468">
      <w:pPr>
        <w:numPr>
          <w:ilvl w:val="0"/>
          <w:numId w:val="1"/>
        </w:numPr>
        <w:spacing w:line="360" w:lineRule="auto"/>
        <w:jc w:val="both"/>
        <w:rPr>
          <w:rFonts w:ascii="Arial" w:hAnsi="Arial"/>
          <w:noProof w:val="0"/>
        </w:rPr>
      </w:pPr>
      <w:r>
        <w:rPr>
          <w:rFonts w:ascii="Arial" w:hAnsi="Arial"/>
          <w:noProof w:val="0"/>
          <w:rtl/>
        </w:rPr>
        <w:lastRenderedPageBreak/>
        <w:t xml:space="preserve">הסמכות להורות על ביטול החלטה או פסק דין שניתנו במעמד צד אחד קבועה בתקנה 131 </w:t>
      </w:r>
      <w:r>
        <w:rPr>
          <w:rFonts w:ascii="Arial" w:hAnsi="Arial"/>
          <w:b/>
          <w:bCs/>
          <w:noProof w:val="0"/>
          <w:rtl/>
        </w:rPr>
        <w:t xml:space="preserve">לתקנות סדר הדין האזרחי, </w:t>
      </w:r>
      <w:r>
        <w:rPr>
          <w:rFonts w:ascii="Arial" w:hAnsi="Arial"/>
          <w:noProof w:val="0"/>
          <w:rtl/>
        </w:rPr>
        <w:t>התשע"ט-2018, וזו לשו</w:t>
      </w:r>
      <w:r w:rsidR="00777943">
        <w:rPr>
          <w:rFonts w:ascii="Arial" w:hAnsi="Arial" w:hint="cs"/>
          <w:noProof w:val="0"/>
          <w:rtl/>
        </w:rPr>
        <w:t>נה</w:t>
      </w:r>
      <w:r>
        <w:rPr>
          <w:rFonts w:ascii="Arial" w:hAnsi="Arial"/>
          <w:noProof w:val="0"/>
          <w:rtl/>
        </w:rPr>
        <w:t>: "</w:t>
      </w:r>
      <w:r>
        <w:rPr>
          <w:rFonts w:ascii="Arial" w:hAnsi="Arial"/>
          <w:b/>
          <w:bCs/>
          <w:noProof w:val="0"/>
          <w:rtl/>
        </w:rPr>
        <w:t>נתן בית המשפט החלטה לפי צד אחד והגיש בעל הדין שנגדו ניתנה ההחלטה בקשת ביטול בתוך שלושים ימים מיום שהומצאה לו ההחלטה, רשאי בית המשפט לבטלה, בתנאים שייראו לו</w:t>
      </w:r>
      <w:r>
        <w:rPr>
          <w:rFonts w:ascii="Arial" w:hAnsi="Arial"/>
          <w:noProof w:val="0"/>
          <w:rtl/>
        </w:rPr>
        <w:t xml:space="preserve">...". </w:t>
      </w:r>
    </w:p>
    <w:p w:rsidR="00806955" w:rsidRDefault="00806955" w:rsidP="00AB1468">
      <w:pPr>
        <w:spacing w:line="360" w:lineRule="auto"/>
        <w:jc w:val="both"/>
        <w:rPr>
          <w:rFonts w:ascii="Arial" w:hAnsi="Arial"/>
          <w:noProof w:val="0"/>
        </w:rPr>
      </w:pPr>
    </w:p>
    <w:p w:rsidR="00806955" w:rsidRDefault="00806955" w:rsidP="00AB1468">
      <w:pPr>
        <w:numPr>
          <w:ilvl w:val="0"/>
          <w:numId w:val="1"/>
        </w:numPr>
        <w:spacing w:line="360" w:lineRule="auto"/>
        <w:jc w:val="both"/>
        <w:rPr>
          <w:rFonts w:ascii="Arial" w:hAnsi="Arial"/>
          <w:noProof w:val="0"/>
        </w:rPr>
      </w:pPr>
      <w:r>
        <w:rPr>
          <w:rFonts w:ascii="Arial" w:hAnsi="Arial"/>
          <w:noProof w:val="0"/>
          <w:rtl/>
        </w:rPr>
        <w:t xml:space="preserve">נהוג להבחין בין שתי עילות המאפשרות ביטול של פסק דין שניתן במעמד צד אחד: הראשונה -  </w:t>
      </w:r>
      <w:r>
        <w:rPr>
          <w:rFonts w:ascii="Arial" w:hAnsi="Arial"/>
          <w:b/>
          <w:bCs/>
          <w:noProof w:val="0"/>
          <w:rtl/>
        </w:rPr>
        <w:t>ביטול מחובת הצדק</w:t>
      </w:r>
      <w:r>
        <w:rPr>
          <w:rFonts w:ascii="Arial" w:hAnsi="Arial"/>
          <w:noProof w:val="0"/>
          <w:rtl/>
        </w:rPr>
        <w:t xml:space="preserve"> - אשר יופעל במקרים בהם נפל בפסק הדין פגם היורד לשורש ההליך, בנסיבות בהן לא בוצעה המצאה כדין, יבוטל פסק הדין מבלי לייחס משקל לעוצמת טענות ההגנה ולסיכוייה; והשנייה - </w:t>
      </w:r>
      <w:r>
        <w:rPr>
          <w:rFonts w:ascii="Arial" w:hAnsi="Arial"/>
          <w:b/>
          <w:bCs/>
          <w:noProof w:val="0"/>
          <w:rtl/>
        </w:rPr>
        <w:t>ביטול לפי שיקול דעתו של בית המשפט</w:t>
      </w:r>
      <w:r>
        <w:rPr>
          <w:rFonts w:ascii="Arial" w:hAnsi="Arial"/>
          <w:noProof w:val="0"/>
          <w:rtl/>
        </w:rPr>
        <w:t xml:space="preserve"> - כאשר אין מחלוקת שבוצעה המצאה כדין, על בית המשפט להידרש לסיבת המחדל ולסיכויי ההצלחה של המבקש בהליך העיקרי, כאשר הבכורה בין השניים בדרך כלל תינתן </w:t>
      </w:r>
      <w:r>
        <w:rPr>
          <w:rFonts w:ascii="Arial" w:hAnsi="Arial"/>
          <w:b/>
          <w:bCs/>
          <w:noProof w:val="0"/>
          <w:rtl/>
        </w:rPr>
        <w:t>לסיכויי ההגנה</w:t>
      </w:r>
      <w:r>
        <w:rPr>
          <w:rFonts w:ascii="Arial" w:hAnsi="Arial"/>
          <w:noProof w:val="0"/>
          <w:rtl/>
        </w:rPr>
        <w:t xml:space="preserve"> של המבקש בהליך העיקרי (ראו: רע"א 1119/05 </w:t>
      </w:r>
      <w:r>
        <w:rPr>
          <w:rFonts w:ascii="Arial" w:hAnsi="Arial"/>
          <w:b/>
          <w:bCs/>
          <w:noProof w:val="0"/>
          <w:rtl/>
        </w:rPr>
        <w:t>גולדסיל בע"מ נ' ביליה רוברט נכסים ובניין בע"מ</w:t>
      </w:r>
      <w:r>
        <w:rPr>
          <w:rFonts w:ascii="Arial" w:hAnsi="Arial"/>
          <w:noProof w:val="0"/>
          <w:rtl/>
        </w:rPr>
        <w:t xml:space="preserve"> (2005) (להלן- "</w:t>
      </w:r>
      <w:r>
        <w:rPr>
          <w:rFonts w:ascii="Arial" w:hAnsi="Arial"/>
          <w:b/>
          <w:bCs/>
          <w:noProof w:val="0"/>
          <w:rtl/>
        </w:rPr>
        <w:t>עניין גולדסיל</w:t>
      </w:r>
      <w:r>
        <w:rPr>
          <w:rFonts w:ascii="Arial" w:hAnsi="Arial"/>
          <w:noProof w:val="0"/>
          <w:rtl/>
        </w:rPr>
        <w:t xml:space="preserve">"); רע"א 8570/21 </w:t>
      </w:r>
      <w:r>
        <w:rPr>
          <w:rFonts w:ascii="Arial" w:hAnsi="Arial"/>
          <w:b/>
          <w:bCs/>
          <w:noProof w:val="0"/>
          <w:rtl/>
        </w:rPr>
        <w:t>אבועזיז דוד נ' עו"ד ארנון אפרים ז"ל</w:t>
      </w:r>
      <w:r>
        <w:rPr>
          <w:rFonts w:ascii="Arial" w:hAnsi="Arial"/>
          <w:noProof w:val="0"/>
          <w:rtl/>
        </w:rPr>
        <w:t xml:space="preserve"> (2021)‏ (להלן- "</w:t>
      </w:r>
      <w:r>
        <w:rPr>
          <w:rFonts w:ascii="Arial" w:hAnsi="Arial"/>
          <w:b/>
          <w:bCs/>
          <w:noProof w:val="0"/>
          <w:rtl/>
        </w:rPr>
        <w:t>עניין אבועזיז</w:t>
      </w:r>
      <w:r>
        <w:rPr>
          <w:rFonts w:ascii="Arial" w:hAnsi="Arial"/>
          <w:noProof w:val="0"/>
          <w:rtl/>
        </w:rPr>
        <w:t xml:space="preserve">"); רע"א 1788/20 </w:t>
      </w:r>
      <w:r>
        <w:rPr>
          <w:rFonts w:ascii="Arial" w:hAnsi="Arial"/>
          <w:b/>
          <w:bCs/>
          <w:noProof w:val="0"/>
          <w:rtl/>
        </w:rPr>
        <w:t>משה אברג'ל נ' אלקטרז איילנד בע"מ</w:t>
      </w:r>
      <w:r>
        <w:rPr>
          <w:rFonts w:ascii="Arial" w:hAnsi="Arial"/>
          <w:noProof w:val="0"/>
          <w:rtl/>
        </w:rPr>
        <w:t xml:space="preserve"> (2020); ת"ב (מש' ת"א) 68000-06-21 </w:t>
      </w:r>
      <w:r>
        <w:rPr>
          <w:rFonts w:ascii="Arial" w:hAnsi="Arial"/>
          <w:b/>
          <w:bCs/>
          <w:noProof w:val="0"/>
          <w:rtl/>
        </w:rPr>
        <w:t>ח.ר.א נ' א.מ.א</w:t>
      </w:r>
      <w:r>
        <w:rPr>
          <w:rFonts w:ascii="Arial" w:hAnsi="Arial"/>
          <w:noProof w:val="0"/>
          <w:rtl/>
        </w:rPr>
        <w:t xml:space="preserve"> (2021)‏. </w:t>
      </w:r>
    </w:p>
    <w:p w:rsidR="00806955" w:rsidRDefault="00806955" w:rsidP="00AB1468">
      <w:pPr>
        <w:spacing w:line="360" w:lineRule="auto"/>
        <w:jc w:val="both"/>
        <w:rPr>
          <w:rFonts w:ascii="Arial" w:hAnsi="Arial"/>
          <w:noProof w:val="0"/>
        </w:rPr>
      </w:pPr>
    </w:p>
    <w:p w:rsidR="00806955" w:rsidRDefault="00806955" w:rsidP="00AB1468">
      <w:pPr>
        <w:numPr>
          <w:ilvl w:val="0"/>
          <w:numId w:val="1"/>
        </w:numPr>
        <w:spacing w:line="360" w:lineRule="auto"/>
        <w:jc w:val="both"/>
        <w:rPr>
          <w:rFonts w:ascii="Arial" w:hAnsi="Arial"/>
          <w:b/>
          <w:bCs/>
          <w:noProof w:val="0"/>
          <w:rtl/>
        </w:rPr>
      </w:pPr>
      <w:r>
        <w:rPr>
          <w:rFonts w:ascii="Arial" w:hAnsi="Arial"/>
          <w:noProof w:val="0"/>
          <w:rtl/>
        </w:rPr>
        <w:t xml:space="preserve">הסמכות לביטול פסק דין בהעדר הגנה הקבועה בתקנה 131, מקנה לבית המשפט את </w:t>
      </w:r>
      <w:r>
        <w:rPr>
          <w:rFonts w:ascii="Arial" w:hAnsi="Arial"/>
          <w:b/>
          <w:bCs/>
          <w:noProof w:val="0"/>
          <w:rtl/>
        </w:rPr>
        <w:t>הכוח להתנות את הביטול בתנאים</w:t>
      </w:r>
      <w:r>
        <w:rPr>
          <w:rFonts w:ascii="Arial" w:hAnsi="Arial"/>
          <w:noProof w:val="0"/>
          <w:rtl/>
        </w:rPr>
        <w:t xml:space="preserve"> אותם הוא מוצא לנכון לקבוע. אשר לשיקול הדעת של בית המשפט בהפעלת סמכות זו, על-פי ההלכה הפסוקה </w:t>
      </w:r>
      <w:r>
        <w:rPr>
          <w:rFonts w:ascii="Arial" w:hAnsi="Arial"/>
          <w:b/>
          <w:bCs/>
          <w:noProof w:val="0"/>
          <w:rtl/>
        </w:rPr>
        <w:t>מדובר בשיקול דעת רחב ביותר</w:t>
      </w:r>
      <w:r>
        <w:rPr>
          <w:rFonts w:ascii="Arial" w:hAnsi="Arial"/>
          <w:noProof w:val="0"/>
          <w:rtl/>
        </w:rPr>
        <w:t xml:space="preserve"> שניתן להפעילו בהתאם לנסיבות העניין (ראו: ע"א 436/83 </w:t>
      </w:r>
      <w:r>
        <w:rPr>
          <w:rFonts w:ascii="Arial" w:hAnsi="Arial"/>
          <w:b/>
          <w:bCs/>
          <w:noProof w:val="0"/>
          <w:rtl/>
        </w:rPr>
        <w:t>לוי נ' דקו</w:t>
      </w:r>
      <w:r>
        <w:rPr>
          <w:rFonts w:ascii="Arial" w:hAnsi="Arial"/>
          <w:noProof w:val="0"/>
          <w:rtl/>
        </w:rPr>
        <w:t xml:space="preserve">, פ"ד מ(4) 589, 605-604 (1986); עניין אבועזיז; </w:t>
      </w:r>
    </w:p>
    <w:p w:rsidR="00806955" w:rsidRDefault="00806955" w:rsidP="00AB1468">
      <w:pPr>
        <w:pStyle w:val="ae"/>
        <w:spacing w:after="0" w:line="360" w:lineRule="auto"/>
        <w:rPr>
          <w:rFonts w:ascii="Arial" w:hAnsi="Arial"/>
        </w:rPr>
      </w:pPr>
    </w:p>
    <w:p w:rsidR="00806955" w:rsidRDefault="00806955" w:rsidP="00AB1468">
      <w:pPr>
        <w:numPr>
          <w:ilvl w:val="0"/>
          <w:numId w:val="1"/>
        </w:numPr>
        <w:spacing w:line="360" w:lineRule="auto"/>
        <w:jc w:val="both"/>
        <w:rPr>
          <w:rFonts w:ascii="Arial" w:hAnsi="Arial"/>
          <w:b/>
          <w:bCs/>
          <w:noProof w:val="0"/>
          <w:rtl/>
        </w:rPr>
      </w:pPr>
      <w:r>
        <w:rPr>
          <w:rFonts w:ascii="Arial" w:hAnsi="Arial"/>
          <w:noProof w:val="0"/>
          <w:rtl/>
        </w:rPr>
        <w:lastRenderedPageBreak/>
        <w:t xml:space="preserve">ככלל, בבקשות לביטול פסק דין שניתן בהיעדר הגנה או אי התייצבות, </w:t>
      </w:r>
      <w:r>
        <w:rPr>
          <w:rFonts w:ascii="Arial" w:hAnsi="Arial"/>
          <w:b/>
          <w:bCs/>
          <w:noProof w:val="0"/>
          <w:rtl/>
        </w:rPr>
        <w:t>הגישה היא ליברלית</w:t>
      </w:r>
      <w:r>
        <w:rPr>
          <w:rFonts w:ascii="Arial" w:hAnsi="Arial"/>
          <w:noProof w:val="0"/>
          <w:rtl/>
        </w:rPr>
        <w:t xml:space="preserve">, תוך ריפוי הנזק שנגרם לבעל הדין שכנגד עקב המחדל הדיוני, בפסיקת הוצאות. ראו: רע"א 2172/22 </w:t>
      </w:r>
      <w:r>
        <w:rPr>
          <w:rFonts w:ascii="Arial" w:hAnsi="Arial"/>
          <w:b/>
          <w:bCs/>
          <w:noProof w:val="0"/>
          <w:rtl/>
        </w:rPr>
        <w:t>אנה מריה בורנשטיין נ' אליעזר לוין</w:t>
      </w:r>
      <w:r>
        <w:rPr>
          <w:rFonts w:ascii="Arial" w:hAnsi="Arial"/>
          <w:noProof w:val="0"/>
          <w:rtl/>
        </w:rPr>
        <w:t xml:space="preserve"> (2022) (להלן- "</w:t>
      </w:r>
      <w:r>
        <w:rPr>
          <w:rFonts w:ascii="Arial" w:hAnsi="Arial"/>
          <w:b/>
          <w:bCs/>
          <w:noProof w:val="0"/>
          <w:rtl/>
        </w:rPr>
        <w:t>עניין בורנשטיין</w:t>
      </w:r>
      <w:r>
        <w:rPr>
          <w:rFonts w:ascii="Arial" w:hAnsi="Arial"/>
          <w:noProof w:val="0"/>
          <w:rtl/>
        </w:rPr>
        <w:t xml:space="preserve">"); בתי המשפט מעדיפים לעסוק </w:t>
      </w:r>
      <w:r>
        <w:rPr>
          <w:rFonts w:ascii="Arial" w:hAnsi="Arial"/>
          <w:b/>
          <w:bCs/>
          <w:noProof w:val="0"/>
          <w:rtl/>
        </w:rPr>
        <w:t>במהות</w:t>
      </w:r>
      <w:r>
        <w:rPr>
          <w:rFonts w:ascii="Arial" w:hAnsi="Arial"/>
          <w:noProof w:val="0"/>
          <w:rtl/>
        </w:rPr>
        <w:t xml:space="preserve">, ככל הניתן, ולפצות בהוצאות ובערובה על אי נוחות שנגרמה. השאיפה הבסיסית היא אפוא כי "יישמע הצד האחר", ומשניתן </w:t>
      </w:r>
      <w:r w:rsidR="0052766E">
        <w:rPr>
          <w:rFonts w:ascii="Arial" w:hAnsi="Arial" w:hint="cs"/>
          <w:noProof w:val="0"/>
          <w:rtl/>
        </w:rPr>
        <w:t>'</w:t>
      </w:r>
      <w:r>
        <w:rPr>
          <w:rFonts w:ascii="Arial" w:hAnsi="Arial"/>
          <w:noProof w:val="0"/>
          <w:rtl/>
        </w:rPr>
        <w:t>לכפר</w:t>
      </w:r>
      <w:r w:rsidR="0052766E">
        <w:rPr>
          <w:rFonts w:ascii="Arial" w:hAnsi="Arial" w:hint="cs"/>
          <w:noProof w:val="0"/>
          <w:rtl/>
        </w:rPr>
        <w:t>'</w:t>
      </w:r>
      <w:r>
        <w:rPr>
          <w:rFonts w:ascii="Arial" w:hAnsi="Arial"/>
          <w:noProof w:val="0"/>
          <w:rtl/>
        </w:rPr>
        <w:t xml:space="preserve"> בהוצאות על הטרחה, בתי המשפט מנסים לעשות כן. ראו: עניין גולדסיל לעיל.</w:t>
      </w:r>
    </w:p>
    <w:p w:rsidR="00806955" w:rsidRDefault="00806955" w:rsidP="00AB1468">
      <w:pPr>
        <w:pStyle w:val="ae"/>
        <w:spacing w:after="0" w:line="360" w:lineRule="auto"/>
        <w:rPr>
          <w:rFonts w:ascii="Arial" w:hAnsi="Arial"/>
        </w:rPr>
      </w:pPr>
    </w:p>
    <w:p w:rsidR="00806955" w:rsidRDefault="00806955" w:rsidP="00AB1468">
      <w:pPr>
        <w:numPr>
          <w:ilvl w:val="0"/>
          <w:numId w:val="1"/>
        </w:numPr>
        <w:spacing w:line="360" w:lineRule="auto"/>
        <w:jc w:val="both"/>
        <w:rPr>
          <w:rFonts w:ascii="Arial" w:hAnsi="Arial"/>
          <w:b/>
          <w:bCs/>
          <w:noProof w:val="0"/>
          <w:rtl/>
        </w:rPr>
      </w:pPr>
      <w:r>
        <w:rPr>
          <w:rFonts w:ascii="Arial" w:hAnsi="Arial"/>
          <w:noProof w:val="0"/>
          <w:rtl/>
        </w:rPr>
        <w:t xml:space="preserve">אכן, בדחייתה של תובענה מטעמים שבסדר הדין, אשר אינם יורדים לגופה של העילה המשפטית הנטענת בה, יש כדי לגרום לפגיעה קשה בזכות הגישה לערכאות, שהינה </w:t>
      </w:r>
      <w:r>
        <w:rPr>
          <w:rFonts w:ascii="Arial" w:hAnsi="Arial"/>
          <w:b/>
          <w:bCs/>
          <w:noProof w:val="0"/>
          <w:rtl/>
        </w:rPr>
        <w:t>זכות יסוד</w:t>
      </w:r>
      <w:r>
        <w:rPr>
          <w:rFonts w:ascii="Arial" w:hAnsi="Arial"/>
          <w:noProof w:val="0"/>
          <w:rtl/>
        </w:rPr>
        <w:t xml:space="preserve">. החלטה שיש בה כדי לשלול את מימושה של זכות יסוד זו שקולה מבחינת תוצאתה האופרטיבית לשלילת הזכות המהותית שמכוחה מבקש אדם סעד מבית-המשפט, וזאת אף בלי להיזקק לבחינת העילה הנטענת לגופה. תוצאה זו קשה היא, ויש בה, במידה רבה, כדי לסכל את תכליתו הבסיסית ביותר של ההליך השיפוטי להכריע בסכסוכים בהתאם לזכויותיהם המהותיות של בעלי-הדין ולהביא לאכיפת שלטון החוק. </w:t>
      </w:r>
    </w:p>
    <w:p w:rsidR="00806955" w:rsidRDefault="00806955" w:rsidP="00AB1468">
      <w:pPr>
        <w:pStyle w:val="ae"/>
        <w:spacing w:after="0" w:line="360" w:lineRule="auto"/>
        <w:rPr>
          <w:rFonts w:ascii="Arial" w:hAnsi="Arial"/>
        </w:rPr>
      </w:pPr>
    </w:p>
    <w:p w:rsidR="00806955" w:rsidRDefault="00806955" w:rsidP="00AB1468">
      <w:pPr>
        <w:numPr>
          <w:ilvl w:val="0"/>
          <w:numId w:val="1"/>
        </w:numPr>
        <w:spacing w:line="360" w:lineRule="auto"/>
        <w:jc w:val="both"/>
        <w:rPr>
          <w:rFonts w:ascii="Arial" w:hAnsi="Arial"/>
          <w:b/>
          <w:bCs/>
          <w:noProof w:val="0"/>
          <w:rtl/>
        </w:rPr>
      </w:pPr>
      <w:r>
        <w:rPr>
          <w:rFonts w:ascii="Arial" w:hAnsi="Arial"/>
          <w:noProof w:val="0"/>
          <w:rtl/>
        </w:rPr>
        <w:t xml:space="preserve">יתרה מזאת, בית-המשפט, ככל רשות שלטונית אחרת, מחויב לעשות שימוש בסמכויותיו באופן העולה בקנה אחד עם </w:t>
      </w:r>
      <w:r>
        <w:rPr>
          <w:rFonts w:ascii="Arial" w:hAnsi="Arial"/>
          <w:b/>
          <w:bCs/>
          <w:noProof w:val="0"/>
          <w:rtl/>
        </w:rPr>
        <w:t>עקרון המידתיות</w:t>
      </w:r>
      <w:r>
        <w:rPr>
          <w:rFonts w:ascii="Arial" w:hAnsi="Arial"/>
          <w:noProof w:val="0"/>
          <w:rtl/>
        </w:rPr>
        <w:t xml:space="preserve">. משמעות הדבר היא שגם אם נתקיימו התנאים הפורמאליים לדחיית התובענה, אין בכך משום סוף פסוק. שומה על בית-המשפט להוסיף ולבחון אם קיימים אמצעים חלופיים העשויים אף הם </w:t>
      </w:r>
      <w:r>
        <w:rPr>
          <w:rFonts w:ascii="Arial" w:hAnsi="Arial"/>
          <w:b/>
          <w:bCs/>
          <w:noProof w:val="0"/>
          <w:rtl/>
        </w:rPr>
        <w:t>לרפא את הנזק שנגרם</w:t>
      </w:r>
      <w:r>
        <w:rPr>
          <w:rFonts w:ascii="Arial" w:hAnsi="Arial"/>
          <w:noProof w:val="0"/>
          <w:rtl/>
        </w:rPr>
        <w:t xml:space="preserve"> על-ידי הפגם הדיוני, אך בכוחם למזער את הפגיעה בזכות היסוד. בדרך-כלל ראוי הוא כי בית-המשפט יחייב את הצד המפר בתשלום הוצאות המשקפות את הנזק שנגרם על-</w:t>
      </w:r>
      <w:r>
        <w:rPr>
          <w:rFonts w:ascii="Arial" w:hAnsi="Arial"/>
          <w:noProof w:val="0"/>
          <w:rtl/>
        </w:rPr>
        <w:lastRenderedPageBreak/>
        <w:t>ידיו, אך בה בעת יאפשר לו להמשיך ולנהל את ההליך ולמצות את יומו בבית-המשפט.</w:t>
      </w:r>
      <w:r>
        <w:rPr>
          <w:rFonts w:ascii="Arial" w:hAnsi="Arial"/>
          <w:b/>
          <w:bCs/>
          <w:noProof w:val="0"/>
          <w:rtl/>
        </w:rPr>
        <w:t xml:space="preserve"> </w:t>
      </w:r>
      <w:r>
        <w:rPr>
          <w:rFonts w:ascii="Arial" w:hAnsi="Arial"/>
          <w:noProof w:val="0"/>
          <w:rtl/>
        </w:rPr>
        <w:t xml:space="preserve">רע"א 1958/00 </w:t>
      </w:r>
      <w:r>
        <w:rPr>
          <w:rFonts w:ascii="Arial" w:hAnsi="Arial"/>
          <w:b/>
          <w:bCs/>
          <w:noProof w:val="0"/>
          <w:rtl/>
        </w:rPr>
        <w:t>אריה נדב נ' סלון מרכזי למכונות כביסה וטלוויזיה בבית אל על</w:t>
      </w:r>
      <w:r>
        <w:rPr>
          <w:rFonts w:ascii="Arial" w:hAnsi="Arial"/>
          <w:noProof w:val="0"/>
          <w:rtl/>
        </w:rPr>
        <w:t>, פ"ד נה(5) 43 (2001)‏.</w:t>
      </w:r>
    </w:p>
    <w:p w:rsidR="00806955" w:rsidRDefault="00806955" w:rsidP="00AB1468">
      <w:pPr>
        <w:spacing w:line="360" w:lineRule="auto"/>
        <w:jc w:val="both"/>
        <w:rPr>
          <w:rFonts w:ascii="Arial" w:hAnsi="Arial"/>
          <w:b/>
          <w:bCs/>
          <w:noProof w:val="0"/>
        </w:rPr>
      </w:pPr>
    </w:p>
    <w:p w:rsidR="00806955" w:rsidRDefault="00806955" w:rsidP="00AB1468">
      <w:pPr>
        <w:numPr>
          <w:ilvl w:val="0"/>
          <w:numId w:val="1"/>
        </w:numPr>
        <w:spacing w:line="360" w:lineRule="auto"/>
        <w:jc w:val="both"/>
        <w:rPr>
          <w:rFonts w:ascii="Arial" w:hAnsi="Arial"/>
          <w:noProof w:val="0"/>
        </w:rPr>
      </w:pPr>
      <w:r>
        <w:rPr>
          <w:rFonts w:ascii="Arial" w:hAnsi="Arial"/>
          <w:noProof w:val="0"/>
          <w:rtl/>
        </w:rPr>
        <w:t xml:space="preserve">בשים לב לחשיבותה של הזכות החוקתית בדבר הגישה לערכאות, בית המשפט נדרש לערוך איזון בין מספר שיקולים לרבות  עקרון סופיות הדיון ויעילותו, התנהגותם של הצדדים ותום-לבם, נסיבותיו של האיחור, מידתו והשלכתו על אינטרס ההסתמכות של הצד האחר, מהות הסוגיה וחשיבותה הציבורית, ובפרט -  שאלת סיכוייו של ההליך ראו: רע"א 1000/17 </w:t>
      </w:r>
      <w:r>
        <w:rPr>
          <w:rFonts w:ascii="Arial" w:hAnsi="Arial"/>
          <w:b/>
          <w:bCs/>
          <w:noProof w:val="0"/>
          <w:rtl/>
        </w:rPr>
        <w:t>פלוני נ' פלוני</w:t>
      </w:r>
      <w:r>
        <w:rPr>
          <w:rFonts w:ascii="Arial" w:hAnsi="Arial"/>
          <w:noProof w:val="0"/>
          <w:rtl/>
        </w:rPr>
        <w:t xml:space="preserve"> (2017)‏; עניין בורנשטיין. </w:t>
      </w:r>
    </w:p>
    <w:p w:rsidR="00806955" w:rsidRDefault="00806955" w:rsidP="00AB1468">
      <w:pPr>
        <w:spacing w:line="360" w:lineRule="auto"/>
        <w:jc w:val="both"/>
        <w:rPr>
          <w:rFonts w:ascii="Arial" w:hAnsi="Arial"/>
          <w:noProof w:val="0"/>
        </w:rPr>
      </w:pPr>
    </w:p>
    <w:p w:rsidR="00806955" w:rsidRDefault="00806955" w:rsidP="00AB1468">
      <w:pPr>
        <w:spacing w:line="360" w:lineRule="auto"/>
        <w:jc w:val="both"/>
        <w:rPr>
          <w:rFonts w:ascii="Arial" w:hAnsi="Arial"/>
          <w:b/>
          <w:bCs/>
          <w:noProof w:val="0"/>
          <w:rtl/>
        </w:rPr>
      </w:pPr>
      <w:r>
        <w:rPr>
          <w:rFonts w:ascii="Arial" w:hAnsi="Arial"/>
          <w:b/>
          <w:bCs/>
          <w:noProof w:val="0"/>
          <w:rtl/>
        </w:rPr>
        <w:t>מן הכלל לעניינינו אנו –</w:t>
      </w:r>
    </w:p>
    <w:p w:rsidR="00806955" w:rsidRDefault="00806955" w:rsidP="00AB1468">
      <w:pPr>
        <w:spacing w:line="360" w:lineRule="auto"/>
        <w:jc w:val="both"/>
        <w:rPr>
          <w:rFonts w:ascii="Arial" w:hAnsi="Arial"/>
          <w:b/>
          <w:bCs/>
          <w:noProof w:val="0"/>
          <w:rtl/>
        </w:rPr>
      </w:pPr>
    </w:p>
    <w:p w:rsidR="00A40271" w:rsidRDefault="00806955" w:rsidP="00437C6A">
      <w:pPr>
        <w:numPr>
          <w:ilvl w:val="0"/>
          <w:numId w:val="1"/>
        </w:numPr>
        <w:spacing w:line="360" w:lineRule="auto"/>
        <w:jc w:val="both"/>
        <w:rPr>
          <w:rFonts w:ascii="Arial" w:hAnsi="Arial"/>
          <w:noProof w:val="0"/>
        </w:rPr>
      </w:pPr>
      <w:r>
        <w:rPr>
          <w:rFonts w:ascii="Arial" w:hAnsi="Arial"/>
          <w:noProof w:val="0"/>
          <w:rtl/>
        </w:rPr>
        <w:t xml:space="preserve">לאחר ששקלתי טענות הצדדים, מצאתי </w:t>
      </w:r>
      <w:r w:rsidR="00A50935">
        <w:rPr>
          <w:rFonts w:ascii="Arial" w:hAnsi="Arial" w:hint="cs"/>
          <w:noProof w:val="0"/>
          <w:rtl/>
        </w:rPr>
        <w:t xml:space="preserve">להיעתר לבקשה, ולבטל את פסק הדין שניתן בהיעדר הגנה, מהטעמים </w:t>
      </w:r>
      <w:r w:rsidR="00C73063">
        <w:rPr>
          <w:rFonts w:ascii="Arial" w:hAnsi="Arial" w:hint="cs"/>
          <w:noProof w:val="0"/>
          <w:rtl/>
        </w:rPr>
        <w:t>המפורטים ל</w:t>
      </w:r>
      <w:r w:rsidR="00A40271">
        <w:rPr>
          <w:rFonts w:ascii="Arial" w:hAnsi="Arial" w:hint="cs"/>
          <w:noProof w:val="0"/>
          <w:rtl/>
        </w:rPr>
        <w:t>הלן.</w:t>
      </w:r>
    </w:p>
    <w:p w:rsidR="00A40271" w:rsidRPr="00A50935" w:rsidRDefault="00A40271" w:rsidP="00AB1468">
      <w:pPr>
        <w:spacing w:line="360" w:lineRule="auto"/>
        <w:ind w:left="720"/>
        <w:jc w:val="both"/>
        <w:rPr>
          <w:rFonts w:ascii="Arial" w:hAnsi="Arial"/>
          <w:noProof w:val="0"/>
        </w:rPr>
      </w:pPr>
    </w:p>
    <w:p w:rsidR="00777943" w:rsidRDefault="00C73063" w:rsidP="00DF7E49">
      <w:pPr>
        <w:numPr>
          <w:ilvl w:val="0"/>
          <w:numId w:val="1"/>
        </w:numPr>
        <w:spacing w:line="360" w:lineRule="auto"/>
        <w:jc w:val="both"/>
        <w:rPr>
          <w:rFonts w:ascii="Arial" w:hAnsi="Arial"/>
          <w:noProof w:val="0"/>
        </w:rPr>
      </w:pPr>
      <w:r w:rsidRPr="00A40271">
        <w:rPr>
          <w:rFonts w:ascii="Arial" w:hAnsi="Arial" w:hint="cs"/>
          <w:noProof w:val="0"/>
          <w:rtl/>
        </w:rPr>
        <w:t xml:space="preserve">אין חולק כי ב"כ המבקש </w:t>
      </w:r>
      <w:r w:rsidR="00437C6A">
        <w:rPr>
          <w:rFonts w:ascii="Arial" w:hAnsi="Arial" w:hint="cs"/>
          <w:noProof w:val="0"/>
          <w:rtl/>
        </w:rPr>
        <w:t>דאז עו"ד ב</w:t>
      </w:r>
      <w:r w:rsidR="00DF7E49">
        <w:rPr>
          <w:rFonts w:ascii="Arial" w:hAnsi="Arial" w:hint="cs"/>
          <w:noProof w:val="0"/>
          <w:rtl/>
        </w:rPr>
        <w:t>'</w:t>
      </w:r>
      <w:r w:rsidR="00437C6A">
        <w:rPr>
          <w:rFonts w:ascii="Arial" w:hAnsi="Arial" w:hint="cs"/>
          <w:noProof w:val="0"/>
          <w:rtl/>
        </w:rPr>
        <w:t xml:space="preserve"> </w:t>
      </w:r>
      <w:r w:rsidRPr="00A40271">
        <w:rPr>
          <w:rFonts w:ascii="Arial" w:hAnsi="Arial" w:hint="cs"/>
          <w:noProof w:val="0"/>
          <w:rtl/>
        </w:rPr>
        <w:t xml:space="preserve">שהה בשירות מילואים פעיל ממושך </w:t>
      </w:r>
      <w:r w:rsidR="00A40271" w:rsidRPr="00A40271">
        <w:rPr>
          <w:rFonts w:ascii="Arial" w:hAnsi="Arial" w:hint="cs"/>
          <w:noProof w:val="0"/>
          <w:rtl/>
        </w:rPr>
        <w:t>החל מ 7.10.23</w:t>
      </w:r>
      <w:r w:rsidR="00777943">
        <w:rPr>
          <w:rFonts w:ascii="Arial" w:hAnsi="Arial" w:hint="cs"/>
          <w:noProof w:val="0"/>
          <w:rtl/>
        </w:rPr>
        <w:t>, וגם בתגובה האחרונה המשיבה לא חלקה על כך</w:t>
      </w:r>
      <w:r w:rsidR="00A40271" w:rsidRPr="00A40271">
        <w:rPr>
          <w:rFonts w:ascii="Arial" w:hAnsi="Arial" w:hint="cs"/>
          <w:noProof w:val="0"/>
          <w:rtl/>
        </w:rPr>
        <w:t>;</w:t>
      </w:r>
    </w:p>
    <w:p w:rsidR="00777943" w:rsidRDefault="00777943" w:rsidP="00AB1468">
      <w:pPr>
        <w:pStyle w:val="ae"/>
        <w:spacing w:after="0" w:line="360" w:lineRule="auto"/>
        <w:rPr>
          <w:rFonts w:ascii="Arial" w:hAnsi="Arial"/>
          <w:rtl/>
        </w:rPr>
      </w:pPr>
    </w:p>
    <w:p w:rsidR="00777943" w:rsidRDefault="00A40271" w:rsidP="00DF7E49">
      <w:pPr>
        <w:numPr>
          <w:ilvl w:val="0"/>
          <w:numId w:val="1"/>
        </w:numPr>
        <w:spacing w:line="360" w:lineRule="auto"/>
        <w:jc w:val="both"/>
        <w:rPr>
          <w:rFonts w:ascii="Arial" w:hAnsi="Arial"/>
          <w:noProof w:val="0"/>
        </w:rPr>
      </w:pPr>
      <w:r w:rsidRPr="00A40271">
        <w:rPr>
          <w:rFonts w:ascii="Arial" w:hAnsi="Arial" w:hint="cs"/>
          <w:noProof w:val="0"/>
          <w:rtl/>
        </w:rPr>
        <w:lastRenderedPageBreak/>
        <w:t xml:space="preserve"> </w:t>
      </w:r>
      <w:r w:rsidR="00C73063" w:rsidRPr="00A40271">
        <w:rPr>
          <w:rFonts w:ascii="Arial" w:hAnsi="Arial"/>
          <w:rtl/>
        </w:rPr>
        <w:t xml:space="preserve">על פי הודעת ב"כ </w:t>
      </w:r>
      <w:r w:rsidR="00C73063" w:rsidRPr="00A40271">
        <w:rPr>
          <w:rFonts w:ascii="Arial" w:hAnsi="Arial" w:hint="cs"/>
          <w:rtl/>
        </w:rPr>
        <w:t xml:space="preserve">המשיבה </w:t>
      </w:r>
      <w:r w:rsidR="00C73063" w:rsidRPr="00A40271">
        <w:rPr>
          <w:rFonts w:ascii="Arial" w:hAnsi="Arial"/>
          <w:rtl/>
        </w:rPr>
        <w:t>מיום 5.2.24, עו"ד ב</w:t>
      </w:r>
      <w:r w:rsidR="00DF7E49">
        <w:rPr>
          <w:rFonts w:ascii="Arial" w:hAnsi="Arial" w:hint="cs"/>
          <w:rtl/>
        </w:rPr>
        <w:t>'</w:t>
      </w:r>
      <w:r w:rsidR="00C73063" w:rsidRPr="00A40271">
        <w:rPr>
          <w:rFonts w:ascii="Arial" w:hAnsi="Arial"/>
          <w:rtl/>
        </w:rPr>
        <w:t xml:space="preserve"> שירת בשירות מילואים</w:t>
      </w:r>
      <w:r w:rsidR="00777943">
        <w:rPr>
          <w:rFonts w:ascii="Arial" w:hAnsi="Arial" w:hint="cs"/>
          <w:rtl/>
        </w:rPr>
        <w:t xml:space="preserve"> ולא עבד, וביום 4.2.24 הודיע כי "הוא גוייס שוב למילואים ואין לו אפשרות להגיש כלום, ואין לו עדיין צפי לסיום".</w:t>
      </w:r>
    </w:p>
    <w:p w:rsidR="00777943" w:rsidRDefault="00777943" w:rsidP="00AB1468">
      <w:pPr>
        <w:pStyle w:val="ae"/>
        <w:spacing w:after="0" w:line="360" w:lineRule="auto"/>
        <w:rPr>
          <w:rFonts w:ascii="Arial" w:hAnsi="Arial"/>
          <w:rtl/>
        </w:rPr>
      </w:pPr>
    </w:p>
    <w:p w:rsidR="00806955" w:rsidRDefault="00A40271" w:rsidP="00DF7E49">
      <w:pPr>
        <w:numPr>
          <w:ilvl w:val="0"/>
          <w:numId w:val="1"/>
        </w:numPr>
        <w:spacing w:line="360" w:lineRule="auto"/>
        <w:jc w:val="both"/>
        <w:rPr>
          <w:rFonts w:ascii="Arial" w:hAnsi="Arial"/>
          <w:noProof w:val="0"/>
        </w:rPr>
      </w:pPr>
      <w:r>
        <w:rPr>
          <w:rFonts w:ascii="Arial" w:hAnsi="Arial" w:hint="cs"/>
          <w:rtl/>
        </w:rPr>
        <w:t>מעי</w:t>
      </w:r>
      <w:r w:rsidR="00777943">
        <w:rPr>
          <w:rFonts w:ascii="Arial" w:hAnsi="Arial" w:hint="cs"/>
          <w:rtl/>
        </w:rPr>
        <w:t>ו</w:t>
      </w:r>
      <w:r>
        <w:rPr>
          <w:rFonts w:ascii="Arial" w:hAnsi="Arial" w:hint="cs"/>
          <w:rtl/>
        </w:rPr>
        <w:t>ן במערכת נט המשפט עולה כי ב"כ המבקש עו"ד ב</w:t>
      </w:r>
      <w:r w:rsidR="00DF7E49">
        <w:rPr>
          <w:rFonts w:ascii="Arial" w:hAnsi="Arial" w:hint="cs"/>
          <w:rtl/>
        </w:rPr>
        <w:t xml:space="preserve">' </w:t>
      </w:r>
      <w:r w:rsidR="00C73063" w:rsidRPr="00A40271">
        <w:rPr>
          <w:rFonts w:ascii="Arial" w:hAnsi="Arial"/>
          <w:rtl/>
        </w:rPr>
        <w:t>לא צפה בהחלטו</w:t>
      </w:r>
      <w:r w:rsidR="00D552EA">
        <w:rPr>
          <w:rFonts w:ascii="Arial" w:hAnsi="Arial"/>
          <w:rtl/>
        </w:rPr>
        <w:t xml:space="preserve">ת השונות שניתנו בהליך זה והורו </w:t>
      </w:r>
      <w:r w:rsidR="00D552EA">
        <w:rPr>
          <w:rFonts w:ascii="Arial" w:hAnsi="Arial" w:hint="cs"/>
          <w:rtl/>
        </w:rPr>
        <w:t xml:space="preserve">על </w:t>
      </w:r>
      <w:r w:rsidR="00C73063" w:rsidRPr="00A40271">
        <w:rPr>
          <w:rFonts w:ascii="Arial" w:hAnsi="Arial"/>
          <w:rtl/>
        </w:rPr>
        <w:t>תגובתו</w:t>
      </w:r>
      <w:r w:rsidR="00D552EA">
        <w:rPr>
          <w:rFonts w:ascii="Arial" w:hAnsi="Arial" w:hint="cs"/>
          <w:rtl/>
        </w:rPr>
        <w:t xml:space="preserve">. </w:t>
      </w:r>
      <w:r w:rsidR="00777943">
        <w:rPr>
          <w:rFonts w:ascii="Arial" w:hAnsi="Arial" w:hint="cs"/>
          <w:rtl/>
        </w:rPr>
        <w:t>ההחלטה האחרונה בה צפה מהיישומון היתה ביום 11.10.23,  ובמסגרתה נקבע כי המועד לתגובה יידחה לאחר תום מצב החירום המיוחד</w:t>
      </w:r>
      <w:r>
        <w:rPr>
          <w:rFonts w:ascii="Arial" w:hAnsi="Arial" w:hint="cs"/>
          <w:rtl/>
        </w:rPr>
        <w:t>.</w:t>
      </w:r>
    </w:p>
    <w:p w:rsidR="00A40271" w:rsidRDefault="00A40271" w:rsidP="00AB1468">
      <w:pPr>
        <w:pStyle w:val="ae"/>
        <w:spacing w:after="0" w:line="360" w:lineRule="auto"/>
        <w:rPr>
          <w:rFonts w:ascii="Arial" w:hAnsi="Arial"/>
          <w:rtl/>
        </w:rPr>
      </w:pPr>
    </w:p>
    <w:p w:rsidR="00A40271" w:rsidRPr="00A40271" w:rsidRDefault="00A40271" w:rsidP="00DF7E49">
      <w:pPr>
        <w:numPr>
          <w:ilvl w:val="0"/>
          <w:numId w:val="1"/>
        </w:numPr>
        <w:spacing w:line="360" w:lineRule="auto"/>
        <w:jc w:val="both"/>
        <w:rPr>
          <w:rFonts w:ascii="Arial" w:hAnsi="Arial"/>
          <w:noProof w:val="0"/>
        </w:rPr>
      </w:pPr>
      <w:r>
        <w:rPr>
          <w:rFonts w:ascii="Arial" w:hAnsi="Arial" w:hint="cs"/>
          <w:noProof w:val="0"/>
          <w:rtl/>
        </w:rPr>
        <w:t>גם המבקש עצמו</w:t>
      </w:r>
      <w:r w:rsidR="00777943">
        <w:rPr>
          <w:rFonts w:ascii="Arial" w:hAnsi="Arial" w:hint="cs"/>
          <w:noProof w:val="0"/>
          <w:rtl/>
        </w:rPr>
        <w:t xml:space="preserve"> לא צפה בהחלטות, לטענתו בשל קשיי התקשורת בשל המלחמה </w:t>
      </w:r>
      <w:r>
        <w:rPr>
          <w:rFonts w:ascii="Arial" w:hAnsi="Arial" w:hint="cs"/>
          <w:noProof w:val="0"/>
          <w:rtl/>
        </w:rPr>
        <w:t xml:space="preserve"> </w:t>
      </w:r>
      <w:r w:rsidR="00777943">
        <w:rPr>
          <w:rFonts w:ascii="Arial" w:hAnsi="Arial" w:hint="cs"/>
          <w:noProof w:val="0"/>
          <w:rtl/>
        </w:rPr>
        <w:t>ב</w:t>
      </w:r>
      <w:r w:rsidR="00DF7E49">
        <w:rPr>
          <w:rFonts w:ascii="Arial" w:hAnsi="Arial" w:hint="cs"/>
          <w:noProof w:val="0"/>
          <w:rtl/>
        </w:rPr>
        <w:t>חו"ל</w:t>
      </w:r>
      <w:r w:rsidR="00777943">
        <w:rPr>
          <w:rFonts w:ascii="Arial" w:hAnsi="Arial" w:hint="cs"/>
          <w:noProof w:val="0"/>
          <w:rtl/>
        </w:rPr>
        <w:t xml:space="preserve">, וניכר כי הוא </w:t>
      </w:r>
      <w:r>
        <w:rPr>
          <w:rFonts w:ascii="Arial" w:hAnsi="Arial" w:hint="cs"/>
          <w:noProof w:val="0"/>
          <w:rtl/>
        </w:rPr>
        <w:t xml:space="preserve">צפה בהחלטות במערכת נט המשפט רק </w:t>
      </w:r>
      <w:r w:rsidR="00777943">
        <w:rPr>
          <w:rFonts w:ascii="Arial" w:hAnsi="Arial" w:hint="cs"/>
          <w:noProof w:val="0"/>
          <w:rtl/>
        </w:rPr>
        <w:t xml:space="preserve">ביום 21.7.24, </w:t>
      </w:r>
      <w:r>
        <w:rPr>
          <w:rFonts w:ascii="Arial" w:hAnsi="Arial" w:hint="cs"/>
          <w:noProof w:val="0"/>
          <w:rtl/>
        </w:rPr>
        <w:t>בסמוך לפני הגשת הבקשה לביטול פסק הדין.</w:t>
      </w:r>
    </w:p>
    <w:p w:rsidR="00C73063" w:rsidRPr="00777943" w:rsidRDefault="00C73063" w:rsidP="00AB1468">
      <w:pPr>
        <w:pStyle w:val="ae"/>
        <w:spacing w:after="0" w:line="360" w:lineRule="auto"/>
        <w:rPr>
          <w:rFonts w:ascii="Arial" w:hAnsi="Arial"/>
          <w:rtl/>
        </w:rPr>
      </w:pPr>
    </w:p>
    <w:p w:rsidR="00A50935" w:rsidRDefault="00777943" w:rsidP="00AB1468">
      <w:pPr>
        <w:numPr>
          <w:ilvl w:val="0"/>
          <w:numId w:val="1"/>
        </w:numPr>
        <w:spacing w:line="360" w:lineRule="auto"/>
        <w:jc w:val="both"/>
        <w:rPr>
          <w:rFonts w:ascii="Arial" w:hAnsi="Arial"/>
          <w:noProof w:val="0"/>
        </w:rPr>
      </w:pPr>
      <w:r>
        <w:rPr>
          <w:rFonts w:ascii="Arial" w:hAnsi="Arial" w:hint="cs"/>
          <w:noProof w:val="0"/>
          <w:rtl/>
        </w:rPr>
        <w:t xml:space="preserve">בנסיבות בהן אין חולק כי לא בוצעה המצאה כדין של ההחלטה מיום </w:t>
      </w:r>
      <w:r w:rsidR="00F95194">
        <w:rPr>
          <w:rFonts w:ascii="Arial" w:hAnsi="Arial" w:hint="cs"/>
          <w:noProof w:val="0"/>
          <w:rtl/>
        </w:rPr>
        <w:t>2.5.24</w:t>
      </w:r>
      <w:r>
        <w:rPr>
          <w:rFonts w:ascii="Arial" w:hAnsi="Arial" w:hint="cs"/>
          <w:noProof w:val="0"/>
          <w:rtl/>
        </w:rPr>
        <w:t xml:space="preserve"> לידי המבקש או בא כוחו, הרי ש</w:t>
      </w:r>
      <w:r>
        <w:rPr>
          <w:rFonts w:ascii="Arial" w:hAnsi="Arial"/>
          <w:noProof w:val="0"/>
          <w:rtl/>
        </w:rPr>
        <w:t>נפל בפסק הדין פגם היורד לשורש ההליך</w:t>
      </w:r>
      <w:r>
        <w:rPr>
          <w:rFonts w:ascii="Arial" w:hAnsi="Arial" w:hint="cs"/>
          <w:noProof w:val="0"/>
          <w:rtl/>
        </w:rPr>
        <w:t xml:space="preserve">; </w:t>
      </w:r>
      <w:r w:rsidR="00806955">
        <w:rPr>
          <w:rFonts w:ascii="Arial" w:hAnsi="Arial"/>
          <w:noProof w:val="0"/>
          <w:rtl/>
        </w:rPr>
        <w:t>מצב דברים זה</w:t>
      </w:r>
      <w:r w:rsidR="00757782">
        <w:rPr>
          <w:rFonts w:ascii="Arial" w:hAnsi="Arial" w:hint="cs"/>
          <w:noProof w:val="0"/>
          <w:rtl/>
        </w:rPr>
        <w:t>,</w:t>
      </w:r>
      <w:r w:rsidR="00806955">
        <w:rPr>
          <w:rFonts w:ascii="Arial" w:hAnsi="Arial"/>
          <w:noProof w:val="0"/>
          <w:rtl/>
        </w:rPr>
        <w:t xml:space="preserve"> מצדיק </w:t>
      </w:r>
      <w:r>
        <w:rPr>
          <w:rFonts w:ascii="Arial" w:hAnsi="Arial"/>
          <w:noProof w:val="0"/>
          <w:rtl/>
        </w:rPr>
        <w:t>היעתרות לבקשה מחמת "חובת הצדק"</w:t>
      </w:r>
      <w:r>
        <w:rPr>
          <w:rFonts w:ascii="Arial" w:hAnsi="Arial" w:hint="cs"/>
          <w:noProof w:val="0"/>
          <w:rtl/>
        </w:rPr>
        <w:t>.</w:t>
      </w:r>
    </w:p>
    <w:p w:rsidR="00A50935" w:rsidRDefault="00A50935" w:rsidP="00AB1468">
      <w:pPr>
        <w:pStyle w:val="ae"/>
        <w:spacing w:after="0" w:line="360" w:lineRule="auto"/>
        <w:rPr>
          <w:rFonts w:ascii="Arial" w:hAnsi="Arial"/>
          <w:rtl/>
        </w:rPr>
      </w:pPr>
    </w:p>
    <w:p w:rsidR="00A50935" w:rsidRDefault="00806955" w:rsidP="00AB1468">
      <w:pPr>
        <w:numPr>
          <w:ilvl w:val="0"/>
          <w:numId w:val="1"/>
        </w:numPr>
        <w:spacing w:line="360" w:lineRule="auto"/>
        <w:jc w:val="both"/>
        <w:rPr>
          <w:rFonts w:ascii="Arial" w:hAnsi="Arial"/>
          <w:noProof w:val="0"/>
        </w:rPr>
      </w:pPr>
      <w:r>
        <w:rPr>
          <w:rFonts w:ascii="Arial" w:hAnsi="Arial"/>
          <w:noProof w:val="0"/>
          <w:rtl/>
        </w:rPr>
        <w:t xml:space="preserve">דברים אלו יפים ביתר שאת שעה </w:t>
      </w:r>
      <w:r w:rsidR="00A50935">
        <w:rPr>
          <w:rFonts w:ascii="Arial" w:hAnsi="Arial" w:hint="cs"/>
          <w:noProof w:val="0"/>
          <w:rtl/>
        </w:rPr>
        <w:t>שמדובר בשירות מילואים פעיל</w:t>
      </w:r>
      <w:r w:rsidR="00777943">
        <w:rPr>
          <w:rFonts w:ascii="Arial" w:hAnsi="Arial" w:hint="cs"/>
          <w:noProof w:val="0"/>
          <w:rtl/>
        </w:rPr>
        <w:t>, בו שהה ב"כ המבקש דאז במהלך מלחמת חרבות ברזל, החל מ</w:t>
      </w:r>
      <w:r w:rsidR="00437C6A">
        <w:rPr>
          <w:rFonts w:ascii="Arial" w:hAnsi="Arial" w:hint="cs"/>
          <w:noProof w:val="0"/>
          <w:rtl/>
        </w:rPr>
        <w:t>יום</w:t>
      </w:r>
      <w:r w:rsidR="00777943">
        <w:rPr>
          <w:rFonts w:ascii="Arial" w:hAnsi="Arial" w:hint="cs"/>
          <w:noProof w:val="0"/>
          <w:rtl/>
        </w:rPr>
        <w:t xml:space="preserve"> 7.10.23 למשך חודשים ארוכים.</w:t>
      </w:r>
    </w:p>
    <w:p w:rsidR="00777943" w:rsidRDefault="00777943" w:rsidP="00AB1468">
      <w:pPr>
        <w:pStyle w:val="ae"/>
        <w:spacing w:after="0" w:line="360" w:lineRule="auto"/>
        <w:rPr>
          <w:rFonts w:ascii="Arial" w:hAnsi="Arial"/>
          <w:rtl/>
        </w:rPr>
      </w:pPr>
    </w:p>
    <w:p w:rsidR="00777943" w:rsidRDefault="00777943" w:rsidP="00AB1468">
      <w:pPr>
        <w:numPr>
          <w:ilvl w:val="0"/>
          <w:numId w:val="1"/>
        </w:numPr>
        <w:spacing w:line="360" w:lineRule="auto"/>
        <w:jc w:val="both"/>
        <w:rPr>
          <w:rFonts w:ascii="Arial" w:hAnsi="Arial"/>
          <w:noProof w:val="0"/>
        </w:rPr>
      </w:pPr>
      <w:r>
        <w:rPr>
          <w:rFonts w:ascii="Arial" w:hAnsi="Arial" w:hint="cs"/>
          <w:noProof w:val="0"/>
          <w:rtl/>
        </w:rPr>
        <w:lastRenderedPageBreak/>
        <w:t xml:space="preserve">אף </w:t>
      </w:r>
      <w:r>
        <w:rPr>
          <w:rFonts w:ascii="Arial" w:hAnsi="Arial"/>
          <w:noProof w:val="0"/>
          <w:rtl/>
        </w:rPr>
        <w:t xml:space="preserve">המחוקק מצא להתחשב בתקופה חריגה זו, כלל הדיונים בוטלו בתחילה והמועדים הקבועים בחוק או בהחלטה שיפוטית הוקפאו בתקופת החירום המיוחדת, ואף לאחריה הוארכו המועדים למשרתי המילואים (ראו למשל </w:t>
      </w:r>
      <w:r>
        <w:rPr>
          <w:rFonts w:ascii="Arial" w:hAnsi="Arial"/>
          <w:b/>
          <w:bCs/>
          <w:noProof w:val="0"/>
          <w:rtl/>
        </w:rPr>
        <w:t>חוק דחיית מועדים (הוראת שעה- חרבות ברזל) (חוזה פסק דין או תשלום לרשות),</w:t>
      </w:r>
      <w:r>
        <w:rPr>
          <w:rFonts w:ascii="Arial" w:hAnsi="Arial"/>
          <w:noProof w:val="0"/>
          <w:rtl/>
        </w:rPr>
        <w:t xml:space="preserve"> התשפ"ד- 2023 </w:t>
      </w:r>
      <w:r>
        <w:rPr>
          <w:rFonts w:ascii="Arial" w:hAnsi="Arial"/>
          <w:b/>
          <w:bCs/>
          <w:noProof w:val="0"/>
          <w:rtl/>
        </w:rPr>
        <w:t>ותקנות סדרי דין בתי המשפט (סדרי דין בבתי המשפט ובבתי הדין הדתיים הדרוזיים) (חרבות ברזל) (הוראת שעה),</w:t>
      </w:r>
      <w:r>
        <w:rPr>
          <w:rFonts w:ascii="Arial" w:hAnsi="Arial"/>
          <w:noProof w:val="0"/>
          <w:rtl/>
        </w:rPr>
        <w:t xml:space="preserve"> תשפ"ד-2023 והצווים שניתנו מכוחם). </w:t>
      </w:r>
    </w:p>
    <w:p w:rsidR="00A50935" w:rsidRDefault="00A50935" w:rsidP="00AB1468">
      <w:pPr>
        <w:pStyle w:val="ae"/>
        <w:spacing w:after="0" w:line="360" w:lineRule="auto"/>
        <w:rPr>
          <w:rFonts w:ascii="Arial" w:hAnsi="Arial"/>
          <w:rtl/>
        </w:rPr>
      </w:pPr>
    </w:p>
    <w:p w:rsidR="00437C6A" w:rsidRDefault="00437C6A" w:rsidP="00FC331E">
      <w:pPr>
        <w:numPr>
          <w:ilvl w:val="0"/>
          <w:numId w:val="1"/>
        </w:numPr>
        <w:spacing w:line="360" w:lineRule="auto"/>
        <w:jc w:val="both"/>
        <w:rPr>
          <w:rFonts w:ascii="Arial" w:hAnsi="Arial"/>
          <w:noProof w:val="0"/>
        </w:rPr>
      </w:pPr>
      <w:r>
        <w:rPr>
          <w:rFonts w:ascii="Arial" w:hAnsi="Arial"/>
          <w:noProof w:val="0"/>
          <w:rtl/>
        </w:rPr>
        <w:t xml:space="preserve">אין זה סביר כי </w:t>
      </w:r>
      <w:r w:rsidR="0084682B">
        <w:rPr>
          <w:rFonts w:ascii="Arial" w:hAnsi="Arial" w:hint="cs"/>
          <w:noProof w:val="0"/>
          <w:rtl/>
        </w:rPr>
        <w:t xml:space="preserve">המבקש </w:t>
      </w:r>
      <w:r>
        <w:rPr>
          <w:rFonts w:ascii="Arial" w:hAnsi="Arial"/>
          <w:noProof w:val="0"/>
          <w:rtl/>
        </w:rPr>
        <w:t>יפגע כתוצאה משירות</w:t>
      </w:r>
      <w:r w:rsidR="00FC331E">
        <w:rPr>
          <w:rFonts w:ascii="Arial" w:hAnsi="Arial" w:hint="cs"/>
          <w:noProof w:val="0"/>
          <w:rtl/>
        </w:rPr>
        <w:t xml:space="preserve"> המילואים</w:t>
      </w:r>
      <w:r>
        <w:rPr>
          <w:rFonts w:ascii="Arial" w:hAnsi="Arial"/>
          <w:noProof w:val="0"/>
          <w:rtl/>
        </w:rPr>
        <w:t xml:space="preserve"> בתקופת המלחמה ותישלל ממנו זכות </w:t>
      </w:r>
      <w:r w:rsidR="0084682B">
        <w:rPr>
          <w:rFonts w:ascii="Arial" w:hAnsi="Arial" w:hint="cs"/>
          <w:noProof w:val="0"/>
          <w:rtl/>
        </w:rPr>
        <w:t>הגישה לערכאות, שכאמור הינה בגדר זכות יסוד.</w:t>
      </w:r>
    </w:p>
    <w:p w:rsidR="00437C6A" w:rsidRPr="00FC331E" w:rsidRDefault="00437C6A" w:rsidP="00437C6A">
      <w:pPr>
        <w:pStyle w:val="ae"/>
        <w:rPr>
          <w:rFonts w:ascii="Arial" w:hAnsi="Arial"/>
          <w:rtl/>
        </w:rPr>
      </w:pPr>
    </w:p>
    <w:p w:rsidR="00A40271" w:rsidRPr="00777943" w:rsidRDefault="00777943" w:rsidP="00AB1468">
      <w:pPr>
        <w:numPr>
          <w:ilvl w:val="0"/>
          <w:numId w:val="1"/>
        </w:numPr>
        <w:spacing w:line="360" w:lineRule="auto"/>
        <w:jc w:val="both"/>
        <w:rPr>
          <w:rFonts w:ascii="Arial" w:hAnsi="Arial"/>
          <w:noProof w:val="0"/>
        </w:rPr>
      </w:pPr>
      <w:r>
        <w:rPr>
          <w:rFonts w:ascii="Arial" w:hAnsi="Arial" w:hint="cs"/>
          <w:noProof w:val="0"/>
          <w:rtl/>
        </w:rPr>
        <w:t>במצב דברים זה</w:t>
      </w:r>
      <w:r w:rsidR="00A40271" w:rsidRPr="00777943">
        <w:rPr>
          <w:rFonts w:ascii="Arial" w:hAnsi="Arial" w:hint="cs"/>
          <w:noProof w:val="0"/>
          <w:rtl/>
        </w:rPr>
        <w:t xml:space="preserve">, </w:t>
      </w:r>
      <w:r w:rsidRPr="00777943">
        <w:rPr>
          <w:rFonts w:ascii="Arial" w:hAnsi="Arial" w:hint="cs"/>
          <w:noProof w:val="0"/>
          <w:rtl/>
        </w:rPr>
        <w:t xml:space="preserve">מאחר ומדובר בביטול מחמת הצדק, </w:t>
      </w:r>
      <w:r w:rsidR="00A40271" w:rsidRPr="00777943">
        <w:rPr>
          <w:rFonts w:ascii="Arial" w:hAnsi="Arial" w:hint="cs"/>
          <w:noProof w:val="0"/>
          <w:rtl/>
        </w:rPr>
        <w:t xml:space="preserve">ואף מבלי לבחון את </w:t>
      </w:r>
      <w:r w:rsidR="00806955" w:rsidRPr="00777943">
        <w:rPr>
          <w:rFonts w:ascii="Arial" w:hAnsi="Arial"/>
          <w:noProof w:val="0"/>
          <w:rtl/>
        </w:rPr>
        <w:t xml:space="preserve">סיכויי </w:t>
      </w:r>
      <w:r w:rsidR="00A40271" w:rsidRPr="00777943">
        <w:rPr>
          <w:rFonts w:ascii="Arial" w:hAnsi="Arial" w:hint="cs"/>
          <w:noProof w:val="0"/>
          <w:rtl/>
        </w:rPr>
        <w:t xml:space="preserve">הבקשה </w:t>
      </w:r>
      <w:r>
        <w:rPr>
          <w:rFonts w:ascii="Arial" w:hAnsi="Arial" w:hint="cs"/>
          <w:noProof w:val="0"/>
          <w:rtl/>
        </w:rPr>
        <w:t>(</w:t>
      </w:r>
      <w:r w:rsidR="00A40271" w:rsidRPr="00777943">
        <w:rPr>
          <w:rFonts w:ascii="Arial" w:hAnsi="Arial" w:hint="cs"/>
          <w:noProof w:val="0"/>
          <w:rtl/>
        </w:rPr>
        <w:t>אשר</w:t>
      </w:r>
      <w:r w:rsidR="00757782">
        <w:rPr>
          <w:rFonts w:ascii="Arial" w:hAnsi="Arial" w:hint="cs"/>
          <w:noProof w:val="0"/>
          <w:rtl/>
        </w:rPr>
        <w:t xml:space="preserve"> מבלי לקבוע מסמרות </w:t>
      </w:r>
      <w:r>
        <w:rPr>
          <w:rFonts w:ascii="Arial" w:hAnsi="Arial" w:hint="cs"/>
          <w:noProof w:val="0"/>
          <w:rtl/>
        </w:rPr>
        <w:t xml:space="preserve"> </w:t>
      </w:r>
      <w:r w:rsidR="00757782">
        <w:rPr>
          <w:rFonts w:ascii="Arial" w:hAnsi="Arial" w:hint="cs"/>
          <w:noProof w:val="0"/>
          <w:rtl/>
        </w:rPr>
        <w:t xml:space="preserve">אציין </w:t>
      </w:r>
      <w:r>
        <w:rPr>
          <w:rFonts w:ascii="Arial" w:hAnsi="Arial" w:hint="cs"/>
          <w:noProof w:val="0"/>
          <w:rtl/>
        </w:rPr>
        <w:t xml:space="preserve">כי </w:t>
      </w:r>
      <w:r w:rsidR="00A40271" w:rsidRPr="00777943">
        <w:rPr>
          <w:rFonts w:ascii="Arial" w:hAnsi="Arial" w:hint="cs"/>
          <w:noProof w:val="0"/>
          <w:rtl/>
        </w:rPr>
        <w:t>לא נומקו כדבעי במסגרת הבקשה</w:t>
      </w:r>
      <w:r>
        <w:rPr>
          <w:rFonts w:ascii="Arial" w:hAnsi="Arial" w:hint="cs"/>
          <w:noProof w:val="0"/>
          <w:rtl/>
        </w:rPr>
        <w:t>)</w:t>
      </w:r>
      <w:r w:rsidR="00A40271" w:rsidRPr="00777943">
        <w:rPr>
          <w:rFonts w:ascii="Arial" w:hAnsi="Arial" w:hint="cs"/>
          <w:noProof w:val="0"/>
          <w:rtl/>
        </w:rPr>
        <w:t xml:space="preserve">, מצאתי </w:t>
      </w:r>
      <w:r w:rsidRPr="00777943">
        <w:rPr>
          <w:rFonts w:ascii="Arial" w:hAnsi="Arial" w:hint="cs"/>
          <w:noProof w:val="0"/>
          <w:rtl/>
        </w:rPr>
        <w:t xml:space="preserve">להיעתר לבקשה, וליתן </w:t>
      </w:r>
      <w:r w:rsidR="00A40271" w:rsidRPr="00777943">
        <w:rPr>
          <w:rFonts w:ascii="Arial" w:hAnsi="Arial" w:hint="cs"/>
          <w:noProof w:val="0"/>
          <w:rtl/>
        </w:rPr>
        <w:t xml:space="preserve">למבקש יומו </w:t>
      </w:r>
      <w:r w:rsidR="00806955" w:rsidRPr="00777943">
        <w:rPr>
          <w:rFonts w:ascii="Arial" w:hAnsi="Arial"/>
          <w:noProof w:val="0"/>
          <w:rtl/>
        </w:rPr>
        <w:t>בבית המשפט לבירור הסוגיה שבמחלוקת</w:t>
      </w:r>
      <w:r w:rsidR="00A40271" w:rsidRPr="00777943">
        <w:rPr>
          <w:rFonts w:ascii="Arial" w:hAnsi="Arial" w:hint="cs"/>
          <w:noProof w:val="0"/>
          <w:rtl/>
        </w:rPr>
        <w:t>.</w:t>
      </w:r>
    </w:p>
    <w:p w:rsidR="00A40271" w:rsidRDefault="00A40271" w:rsidP="00AB1468">
      <w:pPr>
        <w:pStyle w:val="ae"/>
        <w:spacing w:after="0" w:line="360" w:lineRule="auto"/>
        <w:rPr>
          <w:rFonts w:ascii="Arial" w:hAnsi="Arial"/>
          <w:rtl/>
        </w:rPr>
      </w:pPr>
    </w:p>
    <w:p w:rsidR="00806955" w:rsidRPr="00A40271" w:rsidRDefault="0084682B" w:rsidP="0084682B">
      <w:pPr>
        <w:numPr>
          <w:ilvl w:val="0"/>
          <w:numId w:val="1"/>
        </w:numPr>
        <w:spacing w:line="360" w:lineRule="auto"/>
        <w:jc w:val="both"/>
        <w:rPr>
          <w:rFonts w:ascii="Arial" w:hAnsi="Arial"/>
          <w:noProof w:val="0"/>
        </w:rPr>
      </w:pPr>
      <w:r>
        <w:rPr>
          <w:rFonts w:ascii="Arial" w:hAnsi="Arial" w:hint="cs"/>
          <w:noProof w:val="0"/>
          <w:rtl/>
        </w:rPr>
        <w:t xml:space="preserve">לפיכך, </w:t>
      </w:r>
      <w:r w:rsidR="00806955" w:rsidRPr="00A40271">
        <w:rPr>
          <w:rFonts w:ascii="Arial" w:hAnsi="Arial"/>
          <w:noProof w:val="0"/>
          <w:rtl/>
        </w:rPr>
        <w:t xml:space="preserve">בנסיבות האמורות נחה דעתי כי יש לאפשר את בירור התביעה לגופה, והנני מורה כי פסק הדין מיום </w:t>
      </w:r>
      <w:r w:rsidR="00A40271">
        <w:rPr>
          <w:rFonts w:ascii="Arial" w:hAnsi="Arial" w:hint="cs"/>
          <w:noProof w:val="0"/>
          <w:rtl/>
        </w:rPr>
        <w:t xml:space="preserve">9.6.24 </w:t>
      </w:r>
      <w:r>
        <w:rPr>
          <w:rFonts w:ascii="Arial" w:hAnsi="Arial"/>
          <w:noProof w:val="0"/>
          <w:rtl/>
        </w:rPr>
        <w:t>שניתן בהיעדר הגנה יבוטל</w:t>
      </w:r>
      <w:r>
        <w:rPr>
          <w:rFonts w:ascii="Arial" w:hAnsi="Arial" w:hint="cs"/>
          <w:noProof w:val="0"/>
          <w:rtl/>
        </w:rPr>
        <w:t>, והמזכירות תפתח מחדש את התיק.</w:t>
      </w:r>
    </w:p>
    <w:p w:rsidR="00806955" w:rsidRPr="0084682B" w:rsidRDefault="00806955" w:rsidP="00AB1468">
      <w:pPr>
        <w:pStyle w:val="ae"/>
        <w:spacing w:after="0" w:line="360" w:lineRule="auto"/>
        <w:rPr>
          <w:rFonts w:ascii="Arial" w:hAnsi="Arial"/>
        </w:rPr>
      </w:pPr>
    </w:p>
    <w:p w:rsidR="00806955" w:rsidRDefault="00806955" w:rsidP="00AB1468">
      <w:pPr>
        <w:numPr>
          <w:ilvl w:val="0"/>
          <w:numId w:val="1"/>
        </w:numPr>
        <w:spacing w:line="360" w:lineRule="auto"/>
        <w:jc w:val="both"/>
        <w:rPr>
          <w:rFonts w:ascii="Arial" w:hAnsi="Arial"/>
          <w:noProof w:val="0"/>
          <w:rtl/>
        </w:rPr>
      </w:pPr>
      <w:r>
        <w:rPr>
          <w:rFonts w:ascii="Arial" w:hAnsi="Arial"/>
          <w:noProof w:val="0"/>
          <w:rtl/>
        </w:rPr>
        <w:lastRenderedPageBreak/>
        <w:t xml:space="preserve">יחד עם זאת, ועל מנת 'לרפא את הפגם', בשל העובדה </w:t>
      </w:r>
      <w:r w:rsidR="00A40271">
        <w:rPr>
          <w:rFonts w:ascii="Arial" w:hAnsi="Arial" w:hint="cs"/>
          <w:noProof w:val="0"/>
          <w:rtl/>
        </w:rPr>
        <w:t xml:space="preserve">שלמשיבה </w:t>
      </w:r>
      <w:r>
        <w:rPr>
          <w:rFonts w:ascii="Arial" w:hAnsi="Arial"/>
          <w:noProof w:val="0"/>
          <w:rtl/>
        </w:rPr>
        <w:t xml:space="preserve">נדרשו הוצאות משפטיות בשל הליך זה מצאתי לחייב את המבקש בהוצאות משפט בסך של </w:t>
      </w:r>
      <w:r>
        <w:rPr>
          <w:rFonts w:ascii="Arial" w:hAnsi="Arial"/>
          <w:b/>
          <w:bCs/>
          <w:noProof w:val="0"/>
          <w:rtl/>
        </w:rPr>
        <w:t>1,</w:t>
      </w:r>
      <w:r w:rsidR="00777943">
        <w:rPr>
          <w:rFonts w:ascii="Arial" w:hAnsi="Arial" w:hint="cs"/>
          <w:b/>
          <w:bCs/>
          <w:noProof w:val="0"/>
          <w:rtl/>
        </w:rPr>
        <w:t>0</w:t>
      </w:r>
      <w:r>
        <w:rPr>
          <w:rFonts w:ascii="Arial" w:hAnsi="Arial"/>
          <w:b/>
          <w:bCs/>
          <w:noProof w:val="0"/>
          <w:rtl/>
        </w:rPr>
        <w:t>00</w:t>
      </w:r>
      <w:r>
        <w:rPr>
          <w:rFonts w:ascii="Arial" w:hAnsi="Arial"/>
          <w:noProof w:val="0"/>
          <w:rtl/>
        </w:rPr>
        <w:t xml:space="preserve"> ₪, שישולמו בתוך 30 יום.</w:t>
      </w:r>
      <w:r w:rsidR="00777943">
        <w:rPr>
          <w:rFonts w:ascii="Arial" w:hAnsi="Arial" w:hint="cs"/>
          <w:noProof w:val="0"/>
          <w:rtl/>
        </w:rPr>
        <w:t xml:space="preserve"> מאחר והמשיבה מיוצגת במינוי מטעם הלשכה לסיוע משפטי, ישולמו ההוצאות לטובת אוצר המדינה.</w:t>
      </w:r>
    </w:p>
    <w:p w:rsidR="00806955" w:rsidRDefault="00806955" w:rsidP="00AB1468">
      <w:pPr>
        <w:pStyle w:val="ae"/>
        <w:spacing w:after="0" w:line="360" w:lineRule="auto"/>
        <w:rPr>
          <w:rFonts w:ascii="Arial" w:hAnsi="Arial"/>
        </w:rPr>
      </w:pPr>
    </w:p>
    <w:p w:rsidR="00FC331E" w:rsidRDefault="0084682B" w:rsidP="0084682B">
      <w:pPr>
        <w:numPr>
          <w:ilvl w:val="0"/>
          <w:numId w:val="1"/>
        </w:numPr>
        <w:spacing w:line="360" w:lineRule="auto"/>
        <w:jc w:val="both"/>
        <w:rPr>
          <w:rFonts w:ascii="Arial" w:hAnsi="Arial"/>
          <w:noProof w:val="0"/>
        </w:rPr>
      </w:pPr>
      <w:r w:rsidRPr="0084682B">
        <w:rPr>
          <w:rFonts w:ascii="Arial" w:hAnsi="Arial" w:hint="cs"/>
          <w:noProof w:val="0"/>
          <w:rtl/>
        </w:rPr>
        <w:t>המבקש יגיש תגובתו לתסקיר העו"ס</w:t>
      </w:r>
      <w:r w:rsidR="00FC331E">
        <w:rPr>
          <w:rFonts w:ascii="Arial" w:hAnsi="Arial" w:hint="cs"/>
          <w:noProof w:val="0"/>
          <w:rtl/>
        </w:rPr>
        <w:t>, שלא תעלה על 2 עמודים,</w:t>
      </w:r>
      <w:r w:rsidRPr="0084682B">
        <w:rPr>
          <w:rFonts w:ascii="Arial" w:hAnsi="Arial" w:hint="cs"/>
          <w:noProof w:val="0"/>
          <w:rtl/>
        </w:rPr>
        <w:t xml:space="preserve"> בתוך 15 יום. </w:t>
      </w:r>
    </w:p>
    <w:p w:rsidR="00FC331E" w:rsidRDefault="00FC331E" w:rsidP="00FC331E">
      <w:pPr>
        <w:pStyle w:val="ae"/>
        <w:rPr>
          <w:rFonts w:ascii="Arial" w:hAnsi="Arial"/>
          <w:rtl/>
        </w:rPr>
      </w:pPr>
    </w:p>
    <w:p w:rsidR="00806955" w:rsidRDefault="00FC331E" w:rsidP="0084682B">
      <w:pPr>
        <w:numPr>
          <w:ilvl w:val="0"/>
          <w:numId w:val="1"/>
        </w:numPr>
        <w:spacing w:line="360" w:lineRule="auto"/>
        <w:jc w:val="both"/>
        <w:rPr>
          <w:rFonts w:ascii="Arial" w:hAnsi="Arial"/>
          <w:b/>
          <w:bCs/>
          <w:noProof w:val="0"/>
        </w:rPr>
      </w:pPr>
      <w:r>
        <w:rPr>
          <w:rFonts w:ascii="Arial" w:hAnsi="Arial" w:hint="cs"/>
          <w:b/>
          <w:bCs/>
          <w:noProof w:val="0"/>
          <w:rtl/>
        </w:rPr>
        <w:t>בהינתן המחלוקת בין הצדדים, ו</w:t>
      </w:r>
      <w:r w:rsidR="00777943" w:rsidRPr="00777943">
        <w:rPr>
          <w:rFonts w:ascii="Arial" w:hAnsi="Arial" w:hint="cs"/>
          <w:b/>
          <w:bCs/>
          <w:noProof w:val="0"/>
          <w:rtl/>
        </w:rPr>
        <w:t xml:space="preserve">על מנת שניתן יהא לקדם הליך זה </w:t>
      </w:r>
      <w:r w:rsidR="00777943">
        <w:rPr>
          <w:rFonts w:ascii="Arial" w:hAnsi="Arial" w:hint="cs"/>
          <w:b/>
          <w:bCs/>
          <w:noProof w:val="0"/>
          <w:rtl/>
        </w:rPr>
        <w:t xml:space="preserve">לבירור ענייני, </w:t>
      </w:r>
      <w:r w:rsidR="00AA2F79" w:rsidRPr="00777943">
        <w:rPr>
          <w:rFonts w:ascii="Arial" w:hAnsi="Arial" w:hint="cs"/>
          <w:b/>
          <w:bCs/>
          <w:noProof w:val="0"/>
          <w:rtl/>
        </w:rPr>
        <w:t xml:space="preserve">יגישו הצדדים </w:t>
      </w:r>
      <w:r w:rsidR="00777943">
        <w:rPr>
          <w:rFonts w:ascii="Arial" w:hAnsi="Arial" w:hint="cs"/>
          <w:b/>
          <w:bCs/>
          <w:noProof w:val="0"/>
          <w:rtl/>
        </w:rPr>
        <w:t>בתוך 1</w:t>
      </w:r>
      <w:r w:rsidR="0084682B">
        <w:rPr>
          <w:rFonts w:ascii="Arial" w:hAnsi="Arial" w:hint="cs"/>
          <w:b/>
          <w:bCs/>
          <w:noProof w:val="0"/>
          <w:rtl/>
        </w:rPr>
        <w:t>5</w:t>
      </w:r>
      <w:r w:rsidR="00777943">
        <w:rPr>
          <w:rFonts w:ascii="Arial" w:hAnsi="Arial" w:hint="cs"/>
          <w:b/>
          <w:bCs/>
          <w:noProof w:val="0"/>
          <w:rtl/>
        </w:rPr>
        <w:t xml:space="preserve"> ימים רשימת </w:t>
      </w:r>
      <w:r w:rsidR="00AA2F79" w:rsidRPr="00777943">
        <w:rPr>
          <w:rFonts w:ascii="Arial" w:hAnsi="Arial" w:hint="cs"/>
          <w:b/>
          <w:bCs/>
          <w:noProof w:val="0"/>
          <w:rtl/>
        </w:rPr>
        <w:t xml:space="preserve">מועדים מוסכמים לקיום דיון, אליו תזומן </w:t>
      </w:r>
      <w:r w:rsidR="00777943">
        <w:rPr>
          <w:rFonts w:ascii="Arial" w:hAnsi="Arial" w:hint="cs"/>
          <w:b/>
          <w:bCs/>
          <w:noProof w:val="0"/>
          <w:rtl/>
        </w:rPr>
        <w:t xml:space="preserve">גם </w:t>
      </w:r>
      <w:r w:rsidR="00AA2F79" w:rsidRPr="00777943">
        <w:rPr>
          <w:rFonts w:ascii="Arial" w:hAnsi="Arial" w:hint="cs"/>
          <w:b/>
          <w:bCs/>
          <w:noProof w:val="0"/>
          <w:rtl/>
        </w:rPr>
        <w:t>העו"</w:t>
      </w:r>
      <w:r w:rsidR="00777943">
        <w:rPr>
          <w:rFonts w:ascii="Arial" w:hAnsi="Arial" w:hint="cs"/>
          <w:b/>
          <w:bCs/>
          <w:noProof w:val="0"/>
          <w:rtl/>
        </w:rPr>
        <w:t>ס.</w:t>
      </w:r>
    </w:p>
    <w:p w:rsidR="00FC331E" w:rsidRDefault="00FC331E" w:rsidP="00FC331E">
      <w:pPr>
        <w:pStyle w:val="ae"/>
        <w:rPr>
          <w:rFonts w:ascii="Arial" w:hAnsi="Arial"/>
          <w:b/>
          <w:bCs/>
          <w:rtl/>
        </w:rPr>
      </w:pPr>
    </w:p>
    <w:p w:rsidR="00FC331E" w:rsidRPr="00AF14CA" w:rsidRDefault="00AF14CA" w:rsidP="00AF14CA">
      <w:pPr>
        <w:numPr>
          <w:ilvl w:val="0"/>
          <w:numId w:val="1"/>
        </w:numPr>
        <w:spacing w:line="360" w:lineRule="auto"/>
        <w:jc w:val="both"/>
        <w:rPr>
          <w:rFonts w:ascii="Arial" w:hAnsi="Arial"/>
          <w:noProof w:val="0"/>
        </w:rPr>
      </w:pPr>
      <w:r w:rsidRPr="00AF14CA">
        <w:rPr>
          <w:rFonts w:ascii="Arial" w:hAnsi="Arial" w:hint="cs"/>
          <w:noProof w:val="0"/>
          <w:rtl/>
        </w:rPr>
        <w:t>ההחלטה הותר</w:t>
      </w:r>
      <w:r>
        <w:rPr>
          <w:rFonts w:ascii="Arial" w:hAnsi="Arial" w:hint="cs"/>
          <w:noProof w:val="0"/>
          <w:rtl/>
        </w:rPr>
        <w:t>ה לפרסום לאחר השמטת פרטים מזהים.</w:t>
      </w:r>
    </w:p>
    <w:p w:rsidR="0084682B" w:rsidRDefault="0084682B" w:rsidP="0084682B">
      <w:pPr>
        <w:pStyle w:val="ae"/>
        <w:rPr>
          <w:rFonts w:ascii="Arial" w:hAnsi="Arial"/>
          <w:b/>
          <w:bCs/>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ט"ו אלול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18 ספטמבר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Pr="00AF14CA" w:rsidRDefault="00CC29C2" w:rsidP="00AF14CA">
      <w:pPr>
        <w:spacing w:line="360" w:lineRule="auto"/>
        <w:jc w:val="center"/>
        <w:rPr>
          <w:rtl/>
        </w:rPr>
      </w:pPr>
      <w:r>
        <w:rPr>
          <w:rFonts w:ascii="Arial" w:hAnsi="Arial"/>
          <w:noProof w:val="0"/>
          <w:rtl/>
        </w:rPr>
        <w:tab/>
      </w:r>
      <w:r>
        <w:rPr>
          <w:rFonts w:ascii="Arial" w:hAnsi="Arial"/>
          <w:noProof w:val="0"/>
          <w:rtl/>
        </w:rPr>
        <w:tab/>
      </w:r>
      <w:sdt>
        <w:sdtPr>
          <w:rPr>
            <w:rtl/>
          </w:rPr>
          <w:alias w:val="MergeField"/>
          <w:tag w:val="1237"/>
          <w:id w:val="-778179364"/>
        </w:sdtPr>
        <w:sdtEndPr/>
        <w:sdtContent>
          <w:r w:rsidR="00B36412">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62050" cy="1247775"/>
                        </a:xfrm>
                        <a:prstGeom prst="rect">
                          <a:avLst/>
                        </a:prstGeom>
                      </pic:spPr>
                    </pic:pic>
                  </a:graphicData>
                </a:graphic>
              </wp:inline>
            </w:drawing>
          </w:r>
        </w:sdtContent>
      </w:sdt>
    </w:p>
    <w:sectPr w:rsidR="002914D6" w:rsidRPr="00AF14CA"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9C4" w:rsidRDefault="001D09C4">
      <w:r>
        <w:separator/>
      </w:r>
    </w:p>
  </w:endnote>
  <w:endnote w:type="continuationSeparator" w:id="0">
    <w:p w:rsidR="001D09C4" w:rsidRDefault="001D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F272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F272C">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9C4" w:rsidRDefault="001D09C4">
      <w:r>
        <w:separator/>
      </w:r>
    </w:p>
  </w:footnote>
  <w:footnote w:type="continuationSeparator" w:id="0">
    <w:p w:rsidR="001D09C4" w:rsidRDefault="001D0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18 ספטמבר 2024</w:t>
              </w:r>
            </w:p>
          </w:tc>
        </w:sdtContent>
      </w:sdt>
    </w:tr>
    <w:tr w:rsidR="002914D6">
      <w:trPr>
        <w:trHeight w:val="337"/>
        <w:jc w:val="center"/>
      </w:trPr>
      <w:tc>
        <w:tcPr>
          <w:tcW w:w="8721" w:type="dxa"/>
          <w:gridSpan w:val="2"/>
        </w:tcPr>
        <w:p w:rsidR="002914D6" w:rsidRDefault="001D09C4" w:rsidP="00AF14CA">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14157-03-21</w:t>
              </w:r>
            </w:sdtContent>
          </w:sdt>
          <w:r w:rsidR="00011212">
            <w:rPr>
              <w:b/>
              <w:bCs/>
              <w:noProof w:val="0"/>
              <w:sz w:val="26"/>
              <w:szCs w:val="26"/>
              <w:rtl/>
            </w:rPr>
            <w:t xml:space="preserve"> </w:t>
          </w:r>
          <w:sdt>
            <w:sdtPr>
              <w:rPr>
                <w:rtl/>
              </w:rPr>
              <w:alias w:val="1172"/>
              <w:tag w:val="1172"/>
              <w:id w:val="1484202908"/>
              <w:text w:multiLine="1"/>
            </w:sdtPr>
            <w:sdtEndPr/>
            <w:sdtContent>
              <w:r w:rsidR="00AF14CA">
                <w:rPr>
                  <w:rFonts w:hint="cs"/>
                  <w:b/>
                  <w:bCs/>
                  <w:noProof w:val="0"/>
                  <w:sz w:val="26"/>
                  <w:szCs w:val="26"/>
                  <w:rtl/>
                </w:rPr>
                <w:t>ש'</w:t>
              </w:r>
              <w:r w:rsidR="00CC29C2">
                <w:rPr>
                  <w:b/>
                  <w:bCs/>
                  <w:noProof w:val="0"/>
                  <w:sz w:val="26"/>
                  <w:szCs w:val="26"/>
                  <w:rtl/>
                </w:rPr>
                <w:t xml:space="preserve"> נ' </w:t>
              </w:r>
              <w:r w:rsidR="00AF14CA">
                <w:rPr>
                  <w:rFonts w:hint="cs"/>
                  <w:b/>
                  <w:bCs/>
                  <w:noProof w:val="0"/>
                  <w:sz w:val="26"/>
                  <w:szCs w:val="26"/>
                  <w:rtl/>
                </w:rPr>
                <w:t>ש'</w:t>
              </w:r>
            </w:sdtContent>
          </w:sdt>
        </w:p>
        <w:p w:rsidR="002914D6" w:rsidRDefault="002914D6">
          <w:pPr>
            <w:rPr>
              <w:rtl/>
            </w:rPr>
          </w:pPr>
        </w:p>
        <w:p w:rsidR="0033067A" w:rsidRDefault="0033067A">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95840"/>
    <w:multiLevelType w:val="hybridMultilevel"/>
    <w:tmpl w:val="338E460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3779657D"/>
    <w:multiLevelType w:val="hybridMultilevel"/>
    <w:tmpl w:val="338E460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7017728D"/>
    <w:multiLevelType w:val="hybridMultilevel"/>
    <w:tmpl w:val="C914C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6201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62015&amp;lt;/CaseID&amp;gt;_x000d__x000a_        &amp;lt;CaseMonth&amp;gt;3&amp;lt;/CaseMonth&amp;gt;_x000d__x000a_        &amp;lt;CaseYear&amp;gt;2021&amp;lt;/CaseYear&amp;gt;_x000d__x000a_        &amp;lt;CaseNumber&amp;gt;14157&amp;lt;/CaseNumber&amp;gt;_x000d__x000a_        &amp;lt;NumeratorGroupID&amp;gt;1&amp;lt;/NumeratorGroupID&amp;gt;_x000d__x000a_        &amp;lt;CaseName&amp;gt;שמאילוב נ&amp;#39; שמאילוב&amp;lt;/CaseName&amp;gt;_x000d__x000a_        &amp;lt;CourtID&amp;gt;30&amp;lt;/CourtID&amp;gt;_x000d__x000a_        &amp;lt;CaseTypeID&amp;gt;10262&amp;lt;/CaseTypeID&amp;gt;_x000d__x000a_        &amp;lt;CaseInterestID&amp;gt;10510&amp;lt;/CaseInterestID&amp;gt;_x000d__x000a_        &amp;lt;CaseJudgeName&amp;gt;הילה גלבוע&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157-03-21&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OpenDate&amp;gt;2021-03-07T12:44: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62015&amp;lt;/CaseID&amp;gt;_x000d__x000a_        &amp;lt;CaseMonth&amp;gt;3&amp;lt;/CaseMonth&amp;gt;_x000d__x000a_        &amp;lt;CaseYear&amp;gt;2021&amp;lt;/CaseYear&amp;gt;_x000d__x000a_        &amp;lt;CaseNumber&amp;gt;14157&amp;lt;/CaseNumber&amp;gt;_x000d__x000a_        &amp;lt;NumeratorGroupID&amp;gt;1&amp;lt;/NumeratorGroupID&amp;gt;_x000d__x000a_        &amp;lt;CaseName&amp;gt;שמאילוב נ&amp;#39; שמאילוב&amp;lt;/CaseName&amp;gt;_x000d__x000a_        &amp;lt;CourtID&amp;gt;30&amp;lt;/CourtID&amp;gt;_x000d__x000a_        &amp;lt;CaseTypeID&amp;gt;10262&amp;lt;/CaseTypeID&amp;gt;_x000d__x000a_        &amp;lt;CaseInterestID&amp;gt;10510&amp;lt;/CaseInterestID&amp;gt;_x000d__x000a_        &amp;lt;CaseJudgeName&amp;gt;הילה גלבוע&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157-03-21&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OpenDate&amp;gt;2021-03-07T12:44: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67025&amp;lt;/DecisionID&amp;gt;_x000d__x000a_        &amp;lt;DecisionName&amp;gt;החלטה  שניתנה ע&amp;quot;י  הילה גלבוע&amp;lt;/DecisionName&amp;gt;_x000d__x000a_        &amp;lt;DecisionStatusID&amp;gt;1&amp;lt;/DecisionStatusID&amp;gt;_x000d__x000a_        &amp;lt;DecisionStatusChangeDate&amp;gt;2024-09-18T07:43:10.43+03:00&amp;lt;/DecisionStatusChangeDate&amp;gt;_x000d__x000a_        &amp;lt;DecisionSignatureDate&amp;gt;2024-09-17T15:25:07.767+03:00&amp;lt;/DecisionSignatureDate&amp;gt;_x000d__x000a_        &amp;lt;DecisionSignatureUserID&amp;gt;033663675@GOV.IL&amp;lt;/DecisionSignatureUserID&amp;gt;_x000d__x000a_        &amp;lt;DecisionCreateDate&amp;gt;2024-09-17T13:22:32.587+03:00&amp;lt;/DecisionCreateDate&amp;gt;_x000d__x000a_        &amp;lt;DecisionChangeDate&amp;gt;2024-09-18T07:43:10.533+03:00&amp;lt;/DecisionChangeDate&amp;gt;_x000d__x000a_        &amp;lt;DecisionChangeUserID&amp;gt;0400624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544934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663675@GOV.IL&amp;lt;/DecisionCreationUserID&amp;gt;_x000d__x000a_        &amp;lt;DecisionDisplayName&amp;gt;החלטה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4967025&amp;lt;/DecisionID&amp;gt;_x000d__x000a_        &amp;lt;CaseID&amp;gt;78162015&amp;lt;/CaseID&amp;gt;_x000d__x000a_        &amp;lt;IsOriginal&amp;gt;true&amp;lt;/IsOriginal&amp;gt;_x000d__x000a_        &amp;lt;IsDeleted&amp;gt;false&amp;lt;/IsDeleted&amp;gt;_x000d__x000a_        &amp;lt;CaseName&amp;gt;שמאילוב נ&amp;#39; שמאילוב&amp;lt;/CaseName&amp;gt;_x000d__x000a_        &amp;lt;CaseDisplayIdentifier&amp;gt;14157-03-21 תלה&amp;quot;מ&amp;lt;/CaseDisplayIdentifier&amp;gt;_x000d__x000a_      &amp;lt;/dt_DecisionCase&amp;gt;_x000d__x000a_    &amp;lt;/DecisionDS&amp;gt;_x000d__x000a_  &amp;lt;/diffgr:diffgram&amp;gt;_x000d__x000a_&amp;lt;/DecisionDS&amp;gt;"/>
    <w:docVar w:name="DecisionID" w:val="154967025"/>
    <w:docVar w:name="WordClientAssemblyName" w:val="NGCS.Decision.ClientWordBL"/>
    <w:docVar w:name="WordClientClassName" w:val="NGCS.Decision.ClientWordBL.DecisionClient"/>
  </w:docVars>
  <w:rsids>
    <w:rsidRoot w:val="002914D6"/>
    <w:rsid w:val="00011212"/>
    <w:rsid w:val="000C0805"/>
    <w:rsid w:val="0014058F"/>
    <w:rsid w:val="00190707"/>
    <w:rsid w:val="0019474B"/>
    <w:rsid w:val="001D09C4"/>
    <w:rsid w:val="00273D47"/>
    <w:rsid w:val="002856D3"/>
    <w:rsid w:val="002914D6"/>
    <w:rsid w:val="002F5307"/>
    <w:rsid w:val="0033067A"/>
    <w:rsid w:val="003A0652"/>
    <w:rsid w:val="00437C6A"/>
    <w:rsid w:val="004F272C"/>
    <w:rsid w:val="004F4787"/>
    <w:rsid w:val="0050246C"/>
    <w:rsid w:val="0052766E"/>
    <w:rsid w:val="00530E94"/>
    <w:rsid w:val="005E66BB"/>
    <w:rsid w:val="006233E4"/>
    <w:rsid w:val="00757782"/>
    <w:rsid w:val="00777943"/>
    <w:rsid w:val="00806955"/>
    <w:rsid w:val="00822AA5"/>
    <w:rsid w:val="0084682B"/>
    <w:rsid w:val="00904FA7"/>
    <w:rsid w:val="00921E03"/>
    <w:rsid w:val="009A04C9"/>
    <w:rsid w:val="009D1711"/>
    <w:rsid w:val="00A40271"/>
    <w:rsid w:val="00A50935"/>
    <w:rsid w:val="00A7661B"/>
    <w:rsid w:val="00AA2F79"/>
    <w:rsid w:val="00AB1468"/>
    <w:rsid w:val="00AF14CA"/>
    <w:rsid w:val="00B234CE"/>
    <w:rsid w:val="00B31305"/>
    <w:rsid w:val="00B36412"/>
    <w:rsid w:val="00BE17FC"/>
    <w:rsid w:val="00C73063"/>
    <w:rsid w:val="00CC29C2"/>
    <w:rsid w:val="00CE7F78"/>
    <w:rsid w:val="00D15AC0"/>
    <w:rsid w:val="00D552EA"/>
    <w:rsid w:val="00D82D80"/>
    <w:rsid w:val="00DA714E"/>
    <w:rsid w:val="00DC4CE2"/>
    <w:rsid w:val="00DF7E49"/>
    <w:rsid w:val="00E72C9F"/>
    <w:rsid w:val="00EC118E"/>
    <w:rsid w:val="00F50E07"/>
    <w:rsid w:val="00F863E1"/>
    <w:rsid w:val="00F95194"/>
    <w:rsid w:val="00FC331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806955"/>
    <w:pPr>
      <w:spacing w:after="160" w:line="256" w:lineRule="auto"/>
      <w:ind w:left="720"/>
      <w:contextualSpacing/>
    </w:pPr>
    <w:rPr>
      <w:rFonts w:asciiTheme="minorHAnsi" w:hAnsiTheme="minorHAns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009142146">
      <w:bodyDiv w:val="1"/>
      <w:marLeft w:val="0"/>
      <w:marRight w:val="0"/>
      <w:marTop w:val="0"/>
      <w:marBottom w:val="0"/>
      <w:divBdr>
        <w:top w:val="none" w:sz="0" w:space="0" w:color="auto"/>
        <w:left w:val="none" w:sz="0" w:space="0" w:color="auto"/>
        <w:bottom w:val="none" w:sz="0" w:space="0" w:color="auto"/>
        <w:right w:val="none" w:sz="0" w:space="0" w:color="auto"/>
      </w:divBdr>
    </w:div>
    <w:div w:id="1348209967">
      <w:bodyDiv w:val="1"/>
      <w:marLeft w:val="0"/>
      <w:marRight w:val="0"/>
      <w:marTop w:val="0"/>
      <w:marBottom w:val="0"/>
      <w:divBdr>
        <w:top w:val="none" w:sz="0" w:space="0" w:color="auto"/>
        <w:left w:val="none" w:sz="0" w:space="0" w:color="auto"/>
        <w:bottom w:val="none" w:sz="0" w:space="0" w:color="auto"/>
        <w:right w:val="none" w:sz="0" w:space="0" w:color="auto"/>
      </w:divBdr>
    </w:div>
    <w:div w:id="144041619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פקיד סעד</RoleName>
        <IsSubProceeding>FALSE</IsSubProceeding>
        <FullName>מחלקת מעברים ( סדרי דין)  עיריית ירושלים</FullName>
        <LastName>מחלקת מעברים ( סדרי דין)  עיריית ירושלים</LastName>
        <PartyPropertyName/>
        <AuthenticationTypeAndNumber>רשויות מקומיות 10000000758</AuthenticationTypeAndNumber>
        <RepresentatedOrRepresentativesNames/>
        <RepresentatedOrRepresentativesCount>0</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229303478</CasePartyID>
        <PartyTypeID>3</PartyTypeID>
        <ActivityStatusID>1</ActivityStatusID>
        <LegalEntityID>76319123</LegalEntityID>
        <CaseLegalEntityID>116139281</CaseLegalEntityID>
        <AssistantRoleID>2</AssistantRoleID>
        <AuthenticationTypeID>14</AuthenticationTypeID>
        <AuthenticationTypeName>רשויות מקומיות</AuthenticationTypeName>
        <LegalEntityNumber>10000000758</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שוקן ירושלים קמפוס חרוב - מעונות רזניק הר הצופים</FullAddress>
        <EmailAddress>MAAVARIM@JERUSALEM.MUNI.IL</EmailAddress>
        <MotionID>0</MotionID>
        <CasePleaID>0</CasePleaID>
        <LinkedCaseID>0</LinkedCaseID>
        <PartyID>1</PartyID>
        <CasePartyCategoryID>2</CasePartyCategoryID>
        <LegalEntityAddressID>79896104</LegalEntityAddressID>
        <LegalEntityEmailAddressID>68015438</LegalEntityEmailAddressID>
        <PleaTypeID>4</PleaTypeID>
        <GroupPartyAlias/>
        <IsConverted>false</IsConverted>
        <LegalEntityRegisteredNameID>6355619</LegalEntityRegisteredNameID>
        <RepresentatedNamesOfAssistant/>
        <LegalEntityTypeID>3</LegalEntityTypeID>
        <IsVerdictExists>false</IsVerdictExists>
        <IsAsirAzir>false</IsAsirAzir>
        <MainAndSecSpec/>
        <IsPublicationProhibited>false</IsPublicationProhibited>
        <PublicationProhibitedFullName>מחלקת מעברים ( סדרי דין)  עיריית ירושלים</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223715722</CasePartyID>
        <PartyTypeID>3</PartyTypeID>
        <ActivityStatusID>1</ActivityStatusID>
        <LegalEntityID>15868479</LegalEntityID>
        <CaseLegalEntityID>114495997</CaseLegalEntityID>
        <AssistantRoleID>26</AssistantRoleID>
        <AuthenticationTypeID>17</AuthenticationTypeID>
        <AuthenticationTypeName>גופים על פי דין</AuthenticationTypeName>
        <LegalEntityNumber>513436330</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ברזל</FullName>
        <FirstName>אברהם</FirstName>
        <LastName>ברזל</LastName>
        <PartyPropertyName/>
        <AuthenticationTypeAndNumber>מ.ר. 58118</AuthenticationTypeAndNumber>
        <RepresentatedOrRepresentativesNames>גלעד שמאילוב</RepresentatedOrRepresentativesNames>
        <RepresentatedOrRepresentativesCount>1</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225359256</CasePartyID>
        <PartyTypeID>2</PartyTypeID>
        <ActivityStatusID>1</ActivityStatusID>
        <PartyAliasID>21</PartyAliasID>
        <PartyAliasName>בא כוח נתבעים</PartyAliasName>
        <LegalEntityID>70630432</LegalEntityID>
        <CaseLegalEntityID>114980887</CaseLegalEntityID>
        <AuthenticationTypeID>4</AuthenticationTypeID>
        <AuthenticationTypeName>מ.ר.</AuthenticationTypeName>
        <LegalEntityNumber>58118</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המלך ג׳ורג׳ 59/24 ירושלים </FullAddress>
        <EmailAddress>avraham@barzel-law.com</EmailAddress>
        <MotionID>0</MotionID>
        <CasePleaID>0</CasePleaID>
        <LinkedCaseID>0</LinkedCaseID>
        <PartyID>2</PartyID>
        <CasePartyCategoryID>2</CasePartyCategoryID>
        <LegalEntityAddressID>85914835</LegalEntityAddressID>
        <LegalEntityEmailAddressID>68153751</LegalEntityEmailAddressID>
        <PleaTypeID>4</PleaTypeID>
        <LawyerOfficeName>אברהם ברזל-משרד עו"ד</LawyerOfficeName>
        <LawyerOfficeID>70842380</LawyerOfficeID>
        <GroupPartyAlias/>
        <IsConverted>false</IsConverted>
        <LegalEntityNameID>73336617</LegalEntityNameID>
        <RepresentatedNamesOfAssistant/>
        <LegalEntityTypeID>4</LegalEntityTypeID>
        <IsVerdictExists>false</IsVerdictExists>
        <IsAsirAzir>false</IsAsirAzir>
        <MainAndSecSpec/>
        <IsPublicationProhibited>false</IsPublicationProhibited>
        <PublicationProhibitedFullName>אברהם ברזל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חן</FullName>
        <FirstName>עדי</FirstName>
        <LastName>חן</LastName>
        <PartyPropertyName/>
        <AuthenticationTypeAndNumber>מ.ר. 24035</AuthenticationTypeAndNumber>
        <RepresentatedOrRepresentativesNames>גלעד שמאילוב</RepresentatedOrRepresentativesNames>
        <RepresentatedOrRepresentativesCount>1</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273344597</CasePartyID>
        <PartyTypeID>2</PartyTypeID>
        <ActivityStatusID>1</ActivityStatusID>
        <PartyAliasID>21</PartyAliasID>
        <PartyAliasName>בא כוח נתבעים</PartyAliasName>
        <LegalEntityID>402066</LegalEntityID>
        <CaseLegalEntityID>129860825</CaseLegalEntityID>
        <AuthenticationTypeID>4</AuthenticationTypeID>
        <AuthenticationTypeName>מ.ר.</AuthenticationTypeName>
        <LegalEntityNumber>24035</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תובל 40 רמת גן </FullAddress>
        <EmailAddress>office@achen.co.il</EmailAddress>
        <MotionID>0</MotionID>
        <CasePleaID>0</CasePleaID>
        <LinkedCaseID>0</LinkedCaseID>
        <PartyID>2</PartyID>
        <CasePartyCategoryID>2</CasePartyCategoryID>
        <LegalEntityAddressID>87561377</LegalEntityAddressID>
        <LegalEntityEmailAddressID>68242108</LegalEntityEmailAddressID>
        <PleaTypeID>4</PleaTypeID>
        <LawyerOfficeName>משרד עו"ד: עדי חן</LawyerOfficeName>
        <LawyerOfficeID>442710</LawyerOfficeID>
        <GroupPartyAlias/>
        <IsConverted>false</IsConverted>
        <LegalEntityNameID>23050</LegalEntityNameID>
        <RepresentatedNamesOfAssistant/>
        <LegalEntityTypeID>4</LegalEntityTypeID>
        <IsVerdictExists>false</IsVerdictExists>
        <IsAsirAzir>false</IsAsirAzir>
        <MainAndSecSpec/>
        <IsPublicationProhibited>false</IsPublicationProhibited>
        <PublicationProhibitedFullName>עדי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מרים שמאילוב</FullName>
        <FirstName>מרים</FirstName>
        <LastName>שמאילוב</LastName>
        <PartyPropertyName/>
        <AuthenticationTypeAndNumber>ת"ז 333835072</AuthenticationTypeAndNumber>
        <RepresentatedOrRepresentativesNames>תמר ברש-אבירם</RepresentatedOrRepresentativesNames>
        <RepresentatedOrRepresentativesCount>1</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223715524</CasePartyID>
        <PartyTypeID>1</PartyTypeID>
        <ActivityStatusID>1</ActivityStatusID>
        <PartyAliasID>1</PartyAliasID>
        <PartyAliasName>תובע</PartyAliasName>
        <OrdinalNumber>1</OrdinalNumber>
        <LegalEntityID>73595664</LegalEntityID>
        <CaseLegalEntityID>114495941</CaseLegalEntityID>
        <AuthenticationTypeID>1</AuthenticationTypeID>
        <AuthenticationTypeName>ת"ז</AuthenticationTypeName>
        <LegalEntityNumber>333835072</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
        <MotionID>0</MotionID>
        <CasePleaID>0</CasePleaID>
        <FatherName>סרגיי</FatherName>
        <LinkedCaseID>0</LinkedCaseID>
        <PartyID>1</PartyID>
        <CasePartyCategoryID>2</CasePartyCategoryID>
        <PleaTypeID>4</PleaTypeID>
        <GroupPartyAlias>תובעים</GroupPartyAlias>
        <IsConverted>false</IsConverted>
        <LegalEntityRegisteredNameID>5897078</LegalEntityRegisteredNameID>
        <LegalEntityNameID>91051928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שמאילוב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תמר ברש-אבירם</FullName>
        <FirstName>תמר</FirstName>
        <LastName>ברש-אבירם</LastName>
        <PartyPropertyName/>
        <AuthenticationTypeAndNumber>מ.ר. 39872</AuthenticationTypeAndNumber>
        <RepresentatedOrRepresentativesNames>מרים שמאילוב</RepresentatedOrRepresentativesNames>
        <RepresentatedOrRepresentativesCount>1</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223715525</CasePartyID>
        <PartyTypeID>2</PartyTypeID>
        <ActivityStatusID>1</ActivityStatusID>
        <PartyAliasID>20</PartyAliasID>
        <PartyAliasName>בא כוח תובעים</PartyAliasName>
        <OrdinalNumber>1</OrdinalNumber>
        <LegalEntityID>414011</LegalEntityID>
        <CaseLegalEntityID>114495942</CaseLegalEntityID>
        <AuthenticationTypeID>4</AuthenticationTypeID>
        <AuthenticationTypeName>מ.ר.</AuthenticationTypeName>
        <LegalEntityNumber>39872</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כנפי נשרים 13 ירושלים דירה 204</FullAddress>
        <EmailAddress>tbalaw@gmail.com</EmailAddress>
        <MotionID>0</MotionID>
        <CasePleaID>0</CasePleaID>
        <LinkedCaseID>0</LinkedCaseID>
        <PartyID>1</PartyID>
        <CasePartyCategoryID>2</CasePartyCategoryID>
        <LegalEntityAddressID>81285993</LegalEntityAddressID>
        <LegalEntityEmailAddressID>68071418</LegalEntityEmailAddressID>
        <PleaTypeID>4</PleaTypeID>
        <LawyerOfficeName>משרד עו"ד: תמר ברש-אבירם</LawyerOfficeName>
        <LawyerOfficeID>454655</LawyerOfficeID>
        <GroupPartyAlias/>
        <IsConverted>false</IsConverted>
        <LegalEntityNameID>34995</LegalEntityNameID>
        <RepresentatedNamesOfAssistant/>
        <LegalEntityTypeID>4</LegalEntityTypeID>
        <IsVerdictExists>false</IsVerdictExists>
        <IsAsirAzir>false</IsAsirAzir>
        <MainAndSecSpec/>
        <IsPublicationProhibited>false</IsPublicationProhibited>
        <PublicationProhibitedFullName>תמר ברש-אבירם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גלעד שמאילוב</FullName>
        <FirstName>גלעד</FirstName>
        <LastName>שמאילוב</LastName>
        <PartyPropertyName/>
        <AuthenticationTypeAndNumber>ת"ז 310878905</AuthenticationTypeAndNumber>
        <RepresentatedOrRepresentativesNames>אברהם ברזל, עדי חן</RepresentatedOrRepresentativesNames>
        <RepresentatedOrRepresentativesCount>2</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223715526</CasePartyID>
        <PartyTypeID>1</PartyTypeID>
        <ActivityStatusID>1</ActivityStatusID>
        <PartyAliasID>2</PartyAliasID>
        <PartyAliasName>נתבע</PartyAliasName>
        <OrdinalNumber>1</OrdinalNumber>
        <LegalEntityID>23883600</LegalEntityID>
        <CaseLegalEntityID>114495943</CaseLegalEntityID>
        <AuthenticationTypeID>1</AuthenticationTypeID>
        <AuthenticationTypeName>ת"ז</AuthenticationTypeName>
        <LegalEntityNumber>310878905</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בצלאל14 ירושלים </FullAddress>
        <MotionID>0</MotionID>
        <CasePleaID>0</CasePleaID>
        <FatherName>בוריס</FatherName>
        <LinkedCaseID>0</LinkedCaseID>
        <PartyID>2</PartyID>
        <CasePartyCategoryID>2</CasePartyCategoryID>
        <LegalEntityAddressID>84943280</LegalEntityAddressID>
        <PleaTypeID>4</PleaTypeID>
        <GroupPartyAlias>נתבעים</GroupPartyAlias>
        <IsConverted>false</IsConverted>
        <LegalEntityRegisteredNameID>4847791</LegalEntityRegisteredNameID>
        <LegalEntityNameID>91051929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גלעד שמאילוב</PublicationProhibitedFullName>
      </CaseParties>
    </CasePartiesSelectionDS>
    <DecisionName>החלטה  שניתנה ע"י  הילה גלבוע</DecisionName>
    <CourtDisplayName>בית משפט לענייני משפחה בירושלים</CourtDisplayName>
    <IsCaseJudgePanel>false</IsCaseJudgePanel>
    <DecisionSignatureDate>2024-09-17T12:53:40.8645467+03:00</DecisionSignatureDate>
    <OpenCaseDate>2021-03-07T12:44:00+02:00</OpenCaseDate>
    <CaseFeeSum>0.000</CaseFeeSum>
    <DecisionTypeID>1</DecisionTypeID>
    <DecisionSignatureUserName>הילה גלבוע</DecisionSignatureUserName>
    <DecisionSignatureDateHebrew>2024-09-17T12:53:40.8645467+03:00</DecisionSignatureDateHebrew>
    <DecisionWriterID>033663675@GOV.IL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שמאילוב נ' שמאילוב</CaseName>
    <DecisionNumberInCase>19</DecisionNumberInCase>
  </dt_Decision>
  <dt_DecisionCase>
    <DecisionID>0</DecisionID>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פקיד סעד</RoleName>
        <IsSubProceeding>FALSE</IsSubProceeding>
        <FullName>מחלקת מעברים ( סדרי דין)  עיריית ירושלים</FullName>
        <LastName>מחלקת מעברים ( סדרי דין)  עיריית ירושלים</LastName>
        <PartyPropertyName/>
        <AuthenticationTypeAndNumber>רשויות מקומיות 10000000758</AuthenticationTypeAndNumber>
        <RepresentatedOrRepresentativesNames/>
        <RepresentatedOrRepresentativesCount>0</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229303478</CasePartyID>
        <PartyTypeID>3</PartyTypeID>
        <ActivityStatusID>1</ActivityStatusID>
        <LegalEntityID>76319123</LegalEntityID>
        <CaseLegalEntityID>116139281</CaseLegalEntityID>
        <AssistantRoleID>2</AssistantRoleID>
        <AuthenticationTypeID>14</AuthenticationTypeID>
        <AuthenticationTypeName>רשויות מקומיות</AuthenticationTypeName>
        <LegalEntityNumber>10000000758</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שוקן ירושלים קמפוס חרוב - מעונות רזניק הר הצופים</FullAddress>
        <EmailAddress>MAAVARIM@JERUSALEM.MUNI.IL</EmailAddress>
        <MotionID>0</MotionID>
        <CasePleaID>0</CasePleaID>
        <LinkedCaseID>0</LinkedCaseID>
        <PartyID>1</PartyID>
        <CasePartyCategoryID>2</CasePartyCategoryID>
        <LegalEntityAddressID>79896104</LegalEntityAddressID>
        <LegalEntityEmailAddressID>68015438</LegalEntityEmailAddressID>
        <PleaTypeID>4</PleaTypeID>
        <GroupPartyAlias/>
        <IsConverted>false</IsConverted>
        <LegalEntityRegisteredNameID>6355619</LegalEntityRegisteredNameID>
        <RepresentatedNamesOfAssistant/>
        <LegalEntityTypeID>3</LegalEntityTypeID>
        <IsVerdictExists>false</IsVerdictExists>
        <IsAsirAzir>false</IsAsirAzir>
        <MainAndSecSpec/>
        <IsPublicationProhibited>false</IsPublicationProhibited>
        <PublicationProhibitedFullName>מחלקת מעברים ( סדרי דין)  עיריית ירושלים</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223715722</CasePartyID>
        <PartyTypeID>3</PartyTypeID>
        <ActivityStatusID>1</ActivityStatusID>
        <LegalEntityID>15868479</LegalEntityID>
        <CaseLegalEntityID>114495997</CaseLegalEntityID>
        <AssistantRoleID>26</AssistantRoleID>
        <AuthenticationTypeID>17</AuthenticationTypeID>
        <AuthenticationTypeName>גופים על פי דין</AuthenticationTypeName>
        <LegalEntityNumber>513436330</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ברזל</FullName>
        <FirstName>אברהם</FirstName>
        <LastName>ברזל</LastName>
        <PartyPropertyName/>
        <AuthenticationTypeAndNumber>מ.ר. 58118</AuthenticationTypeAndNumber>
        <RepresentatedOrRepresentativesNames>גלעד שמאילוב</RepresentatedOrRepresentativesNames>
        <RepresentatedOrRepresentativesCount>1</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225359256</CasePartyID>
        <PartyTypeID>2</PartyTypeID>
        <ActivityStatusID>1</ActivityStatusID>
        <PartyAliasID>21</PartyAliasID>
        <PartyAliasName>בא כוח נתבעים</PartyAliasName>
        <LegalEntityID>70630432</LegalEntityID>
        <CaseLegalEntityID>114980887</CaseLegalEntityID>
        <AuthenticationTypeID>4</AuthenticationTypeID>
        <AuthenticationTypeName>מ.ר.</AuthenticationTypeName>
        <LegalEntityNumber>58118</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המלך ג׳ורג׳ 59/24 ירושלים </FullAddress>
        <EmailAddress>avraham@barzel-law.com</EmailAddress>
        <MotionID>0</MotionID>
        <CasePleaID>0</CasePleaID>
        <LinkedCaseID>0</LinkedCaseID>
        <PartyID>2</PartyID>
        <CasePartyCategoryID>2</CasePartyCategoryID>
        <LegalEntityAddressID>85914835</LegalEntityAddressID>
        <LegalEntityEmailAddressID>68153751</LegalEntityEmailAddressID>
        <PleaTypeID>4</PleaTypeID>
        <LawyerOfficeName>אברהם ברזל-משרד עו"ד</LawyerOfficeName>
        <LawyerOfficeID>70842380</LawyerOfficeID>
        <GroupPartyAlias/>
        <IsConverted>false</IsConverted>
        <LegalEntityNameID>73336617</LegalEntityNameID>
        <RepresentatedNamesOfAssistant/>
        <LegalEntityTypeID>4</LegalEntityTypeID>
        <IsVerdictExists>false</IsVerdictExists>
        <IsAsirAzir>false</IsAsirAzir>
        <MainAndSecSpec/>
        <IsPublicationProhibited>false</IsPublicationProhibited>
        <PublicationProhibitedFullName>אברהם ברזל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חן</FullName>
        <FirstName>עדי</FirstName>
        <LastName>חן</LastName>
        <PartyPropertyName/>
        <AuthenticationTypeAndNumber>מ.ר. 24035</AuthenticationTypeAndNumber>
        <RepresentatedOrRepresentativesNames>גלעד שמאילוב</RepresentatedOrRepresentativesNames>
        <RepresentatedOrRepresentativesCount>1</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273344597</CasePartyID>
        <PartyTypeID>2</PartyTypeID>
        <ActivityStatusID>1</ActivityStatusID>
        <PartyAliasID>21</PartyAliasID>
        <PartyAliasName>בא כוח נתבעים</PartyAliasName>
        <LegalEntityID>402066</LegalEntityID>
        <CaseLegalEntityID>129860825</CaseLegalEntityID>
        <AuthenticationTypeID>4</AuthenticationTypeID>
        <AuthenticationTypeName>מ.ר.</AuthenticationTypeName>
        <LegalEntityNumber>24035</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תובל 40 רמת גן </FullAddress>
        <EmailAddress>office@achen.co.il</EmailAddress>
        <MotionID>0</MotionID>
        <CasePleaID>0</CasePleaID>
        <LinkedCaseID>0</LinkedCaseID>
        <PartyID>2</PartyID>
        <CasePartyCategoryID>2</CasePartyCategoryID>
        <LegalEntityAddressID>87561377</LegalEntityAddressID>
        <LegalEntityEmailAddressID>68242108</LegalEntityEmailAddressID>
        <PleaTypeID>4</PleaTypeID>
        <LawyerOfficeName>משרד עו"ד: עדי חן</LawyerOfficeName>
        <LawyerOfficeID>442710</LawyerOfficeID>
        <GroupPartyAlias/>
        <IsConverted>false</IsConverted>
        <LegalEntityNameID>23050</LegalEntityNameID>
        <RepresentatedNamesOfAssistant/>
        <LegalEntityTypeID>4</LegalEntityTypeID>
        <IsVerdictExists>false</IsVerdictExists>
        <IsAsirAzir>false</IsAsirAzir>
        <MainAndSecSpec/>
        <IsPublicationProhibited>false</IsPublicationProhibited>
        <PublicationProhibitedFullName>עדי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מרים שמאילוב</FullName>
        <FirstName>מרים</FirstName>
        <LastName>שמאילוב</LastName>
        <PartyPropertyName/>
        <AuthenticationTypeAndNumber>ת"ז 333835072</AuthenticationTypeAndNumber>
        <RepresentatedOrRepresentativesNames>תמר ברש-אבירם</RepresentatedOrRepresentativesNames>
        <RepresentatedOrRepresentativesCount>1</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223715524</CasePartyID>
        <PartyTypeID>1</PartyTypeID>
        <ActivityStatusID>1</ActivityStatusID>
        <PartyAliasID>1</PartyAliasID>
        <PartyAliasName>תובע</PartyAliasName>
        <OrdinalNumber>1</OrdinalNumber>
        <LegalEntityID>73595664</LegalEntityID>
        <CaseLegalEntityID>114495941</CaseLegalEntityID>
        <AuthenticationTypeID>1</AuthenticationTypeID>
        <AuthenticationTypeName>ת"ז</AuthenticationTypeName>
        <LegalEntityNumber>333835072</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
        <MotionID>0</MotionID>
        <CasePleaID>0</CasePleaID>
        <FatherName>סרגיי</FatherName>
        <LinkedCaseID>0</LinkedCaseID>
        <PartyID>1</PartyID>
        <CasePartyCategoryID>2</CasePartyCategoryID>
        <PleaTypeID>4</PleaTypeID>
        <GroupPartyAlias>תובעים</GroupPartyAlias>
        <IsConverted>false</IsConverted>
        <LegalEntityRegisteredNameID>5897078</LegalEntityRegisteredNameID>
        <LegalEntityNameID>91051928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שמאילוב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תמר ברש-אבירם</FullName>
        <FirstName>תמר</FirstName>
        <LastName>ברש-אבירם</LastName>
        <PartyPropertyName/>
        <AuthenticationTypeAndNumber>מ.ר. 39872</AuthenticationTypeAndNumber>
        <RepresentatedOrRepresentativesNames>מרים שמאילוב</RepresentatedOrRepresentativesNames>
        <RepresentatedOrRepresentativesCount>1</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223715525</CasePartyID>
        <PartyTypeID>2</PartyTypeID>
        <ActivityStatusID>1</ActivityStatusID>
        <PartyAliasID>20</PartyAliasID>
        <PartyAliasName>בא כוח תובעים</PartyAliasName>
        <OrdinalNumber>1</OrdinalNumber>
        <LegalEntityID>414011</LegalEntityID>
        <CaseLegalEntityID>114495942</CaseLegalEntityID>
        <AuthenticationTypeID>4</AuthenticationTypeID>
        <AuthenticationTypeName>מ.ר.</AuthenticationTypeName>
        <LegalEntityNumber>39872</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כנפי נשרים 13 ירושלים דירה 204</FullAddress>
        <EmailAddress>tbalaw@gmail.com</EmailAddress>
        <MotionID>0</MotionID>
        <CasePleaID>0</CasePleaID>
        <LinkedCaseID>0</LinkedCaseID>
        <PartyID>1</PartyID>
        <CasePartyCategoryID>2</CasePartyCategoryID>
        <LegalEntityAddressID>81285993</LegalEntityAddressID>
        <LegalEntityEmailAddressID>68071418</LegalEntityEmailAddressID>
        <PleaTypeID>4</PleaTypeID>
        <LawyerOfficeName>משרד עו"ד: תמר ברש-אבירם</LawyerOfficeName>
        <LawyerOfficeID>454655</LawyerOfficeID>
        <GroupPartyAlias/>
        <IsConverted>false</IsConverted>
        <LegalEntityNameID>34995</LegalEntityNameID>
        <RepresentatedNamesOfAssistant/>
        <LegalEntityTypeID>4</LegalEntityTypeID>
        <IsVerdictExists>false</IsVerdictExists>
        <IsAsirAzir>false</IsAsirAzir>
        <MainAndSecSpec/>
        <IsPublicationProhibited>false</IsPublicationProhibited>
        <PublicationProhibitedFullName>תמר ברש-אבירם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גלעד שמאילוב</FullName>
        <FirstName>גלעד</FirstName>
        <LastName>שמאילוב</LastName>
        <PartyPropertyName/>
        <AuthenticationTypeAndNumber>ת"ז 310878905</AuthenticationTypeAndNumber>
        <RepresentatedOrRepresentativesNames>אברהם ברזל, עדי חן</RepresentatedOrRepresentativesNames>
        <RepresentatedOrRepresentativesCount>2</RepresentatedOrRepresentativesCount>
        <InvitedBy/>
        <CaseID>78162015</CaseID>
        <CaseJudicialPersonPresentationDS>
          <CaseJudicalPersonActive>
            <CaseID>78162015</CaseID>
            <JudicialPersonID>033663675@GOV.IL</JudicialPersonID>
            <JudicialPersonTypeID>1</JudicialPersonTypeID>
            <JudicialTypeID>1</JudicialTypeID>
            <IsChairman>false</IsChairman>
            <TreatmentStartDate>2022-05-09T13:11:16.833+03:00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223715526</CasePartyID>
        <PartyTypeID>1</PartyTypeID>
        <ActivityStatusID>1</ActivityStatusID>
        <PartyAliasID>2</PartyAliasID>
        <PartyAliasName>נתבע</PartyAliasName>
        <OrdinalNumber>1</OrdinalNumber>
        <LegalEntityID>23883600</LegalEntityID>
        <CaseLegalEntityID>114495943</CaseLegalEntityID>
        <AuthenticationTypeID>1</AuthenticationTypeID>
        <AuthenticationTypeName>ת"ז</AuthenticationTypeName>
        <LegalEntityNumber>310878905</LegalEntityNumber>
        <IsMainPartyType>true</IsMainPartyType>
        <CaseDisplayIdentifier>14157-03-21</CaseDisplayIdentifier>
        <CaseTypeID>10262</CaseTypeID>
        <CaseTypeName>תביעה לאחר הסדר התדיינויות במשפחה (תלה"מ)</CaseTypeName>
        <CaseName>שמאילוב נ' שמאילוב</CaseName>
        <FullAddress>בצלאל14 ירושלים </FullAddress>
        <MotionID>0</MotionID>
        <CasePleaID>0</CasePleaID>
        <FatherName>בוריס</FatherName>
        <LinkedCaseID>0</LinkedCaseID>
        <PartyID>2</PartyID>
        <CasePartyCategoryID>2</CasePartyCategoryID>
        <LegalEntityAddressID>84943280</LegalEntityAddressID>
        <PleaTypeID>4</PleaTypeID>
        <GroupPartyAlias>נתבעים</GroupPartyAlias>
        <IsConverted>false</IsConverted>
        <LegalEntityRegisteredNameID>4847791</LegalEntityRegisteredNameID>
        <LegalEntityNameID>91051929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גלעד שמאילוב</PublicationProhibitedFullName>
      </CaseParties>
    </CasePartiesSelectionDS>
    <CaseName>שמאילוב נ' שמאילוב</CaseName>
    <CaseDisplayIdentifier>14157-03-21</CaseDisplayIdentifier>
    <CaseInterestID>10510</CaseInterestID>
    <CaseTypeShortName>תלה"מ</CaseTypeShortName>
  </dt_DecisionCase>
  <dt_DecisionJudgePanel>
    <JudgeID>033663675@GOV.IL</JudgeID>
    <DisplayName>הילה גלבוע</DisplayName>
    <RoleName>שופט</RoleName>
    <UserTitleName>שופטת</UserTitleName>
  </dt_DecisionJudgePanel>
  <dt_LegalEntityDetails>
    <Fax>02-6467078</Fax>
    <Phone>073-3926247</Phone>
    <AddressDesc>בית מצפה קומה 2</AddressDesc>
    <PartyID>1</PartyID>
    <PartyTypeID>3</PartyTypeID>
    <DecisionID>0</DecisionID>
    <AssistantRoleID>26</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02-6255090</Fax>
    <Phone>02-6255060</Phone>
    <AddressDesc/>
    <PartyID>2</PartyID>
    <PartyTypeID>2</PartyTypeID>
    <DecisionID>0</DecisionID>
    <StreetName>המלך ג׳ורג׳ 59/24</StreetName>
    <CityName>ירושלים</CityName>
    <FullName>אברהם ברזל</FullName>
    <Email>avraham@barzel-law.com</Email>
    <IsPublicationProhibited>false</IsPublicationProhibited>
  </dt_LegalEntityDetails>
  <dt_LegalEntityDetails>
    <Fax>02-9702437</Fax>
    <Phone>02-5468246</Phone>
    <AddressDesc>קמפוס חרוב - מעונות רזניק הר הצופים</AddressDesc>
    <PartyID>1</PartyID>
    <PartyTypeID>3</PartyTypeID>
    <DecisionID>0</DecisionID>
    <AssistantRoleID>2</AssistantRoleID>
    <StreetName>שוקן</StreetName>
    <CityName>ירושלים</CityName>
    <FullName/>
    <Email>MAAVARIM@JERUSALEM.MUNI.IL</Email>
    <IsPublicationProhibited>false</IsPublicationProhibited>
  </dt_LegalEntityDetails>
  <dt_LegalEntityDetails>
    <PartyID>2</PartyID>
    <PartyTypeID>2</PartyTypeID>
    <DecisionID>0</DecisionID>
    <StreetName>תובל 40</StreetName>
    <CityName>רמת גן</CityName>
    <FullName>עדי חן</FullName>
    <Email>office@achen.co.il</Email>
    <IsPublicationProhibited>false</IsPublicationProhibited>
  </dt_LegalEntityDetails>
  <dt_LegalEntityDetails>
    <PartyID>1</PartyID>
    <PartyTypeID>1</PartyTypeID>
    <DecisionID>0</DecisionID>
    <FullName>מרים שמאילוב</FullName>
    <IsPublicationProhibited>false</IsPublicationProhibited>
  </dt_LegalEntityDetails>
  <dt_LegalEntityDetails>
    <Fax>02-6648870</Fax>
    <Phone>02-6306630</Phone>
    <AddressDesc>דירה 204</AddressDesc>
    <PartyID>1</PartyID>
    <PartyTypeID>2</PartyTypeID>
    <DecisionID>0</DecisionID>
    <StreetName>כנפי נשרים 13</StreetName>
    <CityName>ירושלים</CityName>
    <FullName>תמר ברש-אבירם</FullName>
    <Email>tbalaw@gmail.com</Email>
    <IsPublicationProhibited>false</IsPublicationProhibited>
  </dt_LegalEntityDetails>
  <dt_LegalEntityDetails>
    <PartyID>2</PartyID>
    <PartyTypeID>1</PartyTypeID>
    <DecisionID>0</DecisionID>
    <StreetName>בצלאל14</StreetName>
    <CityName>ירושלים</CityName>
    <FullName>גלעד שמאילוב</FullName>
    <IsPublicationProhibited>false</IsPublicationProhibited>
  </dt_LegalEntityDetails>
  <dt_CaseJudicalPersonActive>
    <CaseJudicalPerson>שופטת הילה גלבוע</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1B397-FC89-406F-9617-8AFDC1FB275B}">
  <ds:schemaRefs/>
</ds:datastoreItem>
</file>

<file path=customXml/itemProps2.xml><?xml version="1.0" encoding="utf-8"?>
<ds:datastoreItem xmlns:ds="http://schemas.openxmlformats.org/officeDocument/2006/customXml" ds:itemID="{F89931F4-C1D5-44CF-BFC1-520C2E87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1251</Words>
  <Characters>6255</Characters>
  <Application>Microsoft Office Word</Application>
  <DocSecurity>0</DocSecurity>
  <Lines>52</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2024-10-06T09:45:00Z</dcterms:created>
  <dcterms:modified xsi:type="dcterms:W3CDTF">2024-10-06T09:45:00Z</dcterms:modified>
</cp:coreProperties>
</file>